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81BE2" w14:textId="768D3636" w:rsidR="00846BEC" w:rsidRDefault="00DF0F46" w:rsidP="00FF3425">
      <w:pPr>
        <w:spacing w:line="360" w:lineRule="auto"/>
        <w:rPr>
          <w:rFonts w:ascii="Tahoma" w:hAnsi="Tahoma" w:cs="Tahoma"/>
          <w:sz w:val="24"/>
          <w:szCs w:val="24"/>
        </w:rPr>
      </w:pPr>
      <w:r>
        <w:rPr>
          <w:noProof/>
        </w:rPr>
        <w:drawing>
          <wp:anchor distT="0" distB="0" distL="114300" distR="114300" simplePos="0" relativeHeight="251664384" behindDoc="0" locked="0" layoutInCell="1" hidden="0" allowOverlap="1" wp14:anchorId="73253FE8" wp14:editId="22B43D6E">
            <wp:simplePos x="0" y="0"/>
            <wp:positionH relativeFrom="column">
              <wp:posOffset>-248285</wp:posOffset>
            </wp:positionH>
            <wp:positionV relativeFrom="paragraph">
              <wp:posOffset>635</wp:posOffset>
            </wp:positionV>
            <wp:extent cx="6162040" cy="3752587"/>
            <wp:effectExtent l="0" t="0" r="0" b="635"/>
            <wp:wrapNone/>
            <wp:docPr id="1887848764" name="image39.jpg" descr="Logo oficial EPQ -01"/>
            <wp:cNvGraphicFramePr/>
            <a:graphic xmlns:a="http://schemas.openxmlformats.org/drawingml/2006/main">
              <a:graphicData uri="http://schemas.openxmlformats.org/drawingml/2006/picture">
                <pic:pic xmlns:pic="http://schemas.openxmlformats.org/drawingml/2006/picture">
                  <pic:nvPicPr>
                    <pic:cNvPr id="0" name="image39.jpg" descr="Logo oficial EPQ -01"/>
                    <pic:cNvPicPr preferRelativeResize="0"/>
                  </pic:nvPicPr>
                  <pic:blipFill>
                    <a:blip r:embed="rId7"/>
                    <a:srcRect/>
                    <a:stretch>
                      <a:fillRect/>
                    </a:stretch>
                  </pic:blipFill>
                  <pic:spPr>
                    <a:xfrm>
                      <a:off x="0" y="0"/>
                      <a:ext cx="6162040" cy="3752587"/>
                    </a:xfrm>
                    <a:prstGeom prst="rect">
                      <a:avLst/>
                    </a:prstGeom>
                    <a:ln/>
                  </pic:spPr>
                </pic:pic>
              </a:graphicData>
            </a:graphic>
            <wp14:sizeRelH relativeFrom="margin">
              <wp14:pctWidth>0</wp14:pctWidth>
            </wp14:sizeRelH>
            <wp14:sizeRelV relativeFrom="margin">
              <wp14:pctHeight>0</wp14:pctHeight>
            </wp14:sizeRelV>
          </wp:anchor>
        </w:drawing>
      </w:r>
    </w:p>
    <w:p w14:paraId="2265A590" w14:textId="7C5A7875" w:rsidR="00DF0F46" w:rsidRDefault="00DF0F46" w:rsidP="00FF3425">
      <w:pPr>
        <w:spacing w:line="360" w:lineRule="auto"/>
        <w:rPr>
          <w:rFonts w:ascii="Tahoma" w:hAnsi="Tahoma" w:cs="Tahoma"/>
          <w:sz w:val="24"/>
          <w:szCs w:val="24"/>
        </w:rPr>
      </w:pPr>
    </w:p>
    <w:p w14:paraId="35CC0E0D" w14:textId="7043D1C6" w:rsidR="00DF0F46" w:rsidRDefault="00DF0F46" w:rsidP="00FF3425">
      <w:pPr>
        <w:spacing w:line="360" w:lineRule="auto"/>
        <w:rPr>
          <w:rFonts w:ascii="Tahoma" w:hAnsi="Tahoma" w:cs="Tahoma"/>
          <w:sz w:val="24"/>
          <w:szCs w:val="24"/>
        </w:rPr>
      </w:pPr>
    </w:p>
    <w:p w14:paraId="74D39CF3" w14:textId="75391893" w:rsidR="00DF0F46" w:rsidRDefault="00DF0F46" w:rsidP="00FF3425">
      <w:pPr>
        <w:spacing w:line="360" w:lineRule="auto"/>
        <w:rPr>
          <w:rFonts w:ascii="Tahoma" w:hAnsi="Tahoma" w:cs="Tahoma"/>
          <w:sz w:val="24"/>
          <w:szCs w:val="24"/>
        </w:rPr>
      </w:pPr>
    </w:p>
    <w:p w14:paraId="2A70BAD0" w14:textId="41BB7755" w:rsidR="00DF0F46" w:rsidRDefault="00DF0F46" w:rsidP="00FF3425">
      <w:pPr>
        <w:spacing w:line="360" w:lineRule="auto"/>
        <w:rPr>
          <w:rFonts w:ascii="Tahoma" w:hAnsi="Tahoma" w:cs="Tahoma"/>
          <w:sz w:val="24"/>
          <w:szCs w:val="24"/>
        </w:rPr>
      </w:pPr>
    </w:p>
    <w:p w14:paraId="4FDDD371" w14:textId="0C056E8B" w:rsidR="00DF0F46" w:rsidRDefault="00DF0F46" w:rsidP="00FF3425">
      <w:pPr>
        <w:spacing w:line="360" w:lineRule="auto"/>
        <w:rPr>
          <w:rFonts w:ascii="Tahoma" w:hAnsi="Tahoma" w:cs="Tahoma"/>
          <w:sz w:val="24"/>
          <w:szCs w:val="24"/>
        </w:rPr>
      </w:pPr>
    </w:p>
    <w:p w14:paraId="476E91D4" w14:textId="77DD48DB" w:rsidR="00DF0F46" w:rsidRDefault="00DF0F46" w:rsidP="00FF3425">
      <w:pPr>
        <w:spacing w:line="360" w:lineRule="auto"/>
        <w:rPr>
          <w:rFonts w:ascii="Tahoma" w:hAnsi="Tahoma" w:cs="Tahoma"/>
          <w:sz w:val="24"/>
          <w:szCs w:val="24"/>
        </w:rPr>
      </w:pPr>
    </w:p>
    <w:p w14:paraId="7F40E766" w14:textId="77FA3F58" w:rsidR="00DF0F46" w:rsidRDefault="00DF0F46" w:rsidP="00FF3425">
      <w:pPr>
        <w:spacing w:line="360" w:lineRule="auto"/>
        <w:rPr>
          <w:rFonts w:ascii="Tahoma" w:hAnsi="Tahoma" w:cs="Tahoma"/>
          <w:sz w:val="24"/>
          <w:szCs w:val="24"/>
        </w:rPr>
      </w:pPr>
    </w:p>
    <w:p w14:paraId="565D0695" w14:textId="49D26675" w:rsidR="00DF0F46" w:rsidRDefault="00DF0F46" w:rsidP="00FF3425">
      <w:pPr>
        <w:spacing w:line="360" w:lineRule="auto"/>
        <w:rPr>
          <w:rFonts w:ascii="Tahoma" w:hAnsi="Tahoma" w:cs="Tahoma"/>
          <w:sz w:val="24"/>
          <w:szCs w:val="24"/>
        </w:rPr>
      </w:pPr>
    </w:p>
    <w:p w14:paraId="27B178A9" w14:textId="5E6EC349" w:rsidR="00DF0F46" w:rsidRDefault="00DF0F46" w:rsidP="00FF3425">
      <w:pPr>
        <w:spacing w:line="360" w:lineRule="auto"/>
        <w:rPr>
          <w:rFonts w:ascii="Tahoma" w:hAnsi="Tahoma" w:cs="Tahoma"/>
          <w:sz w:val="24"/>
          <w:szCs w:val="24"/>
        </w:rPr>
      </w:pPr>
    </w:p>
    <w:p w14:paraId="5A46A3D4" w14:textId="718B6FA7" w:rsidR="00DF0F46" w:rsidRDefault="00DF0F46" w:rsidP="00FF3425">
      <w:pPr>
        <w:spacing w:line="360" w:lineRule="auto"/>
        <w:rPr>
          <w:rFonts w:ascii="Tahoma" w:hAnsi="Tahoma" w:cs="Tahoma"/>
          <w:sz w:val="24"/>
          <w:szCs w:val="24"/>
        </w:rPr>
      </w:pPr>
      <w:r>
        <w:rPr>
          <w:noProof/>
        </w:rPr>
        <mc:AlternateContent>
          <mc:Choice Requires="wps">
            <w:drawing>
              <wp:anchor distT="0" distB="0" distL="114300" distR="114300" simplePos="0" relativeHeight="251662336" behindDoc="0" locked="0" layoutInCell="1" hidden="0" allowOverlap="1" wp14:anchorId="4C1838FB" wp14:editId="3E821829">
                <wp:simplePos x="0" y="0"/>
                <wp:positionH relativeFrom="column">
                  <wp:posOffset>612140</wp:posOffset>
                </wp:positionH>
                <wp:positionV relativeFrom="paragraph">
                  <wp:posOffset>351155</wp:posOffset>
                </wp:positionV>
                <wp:extent cx="5631815" cy="774700"/>
                <wp:effectExtent l="0" t="0" r="26035" b="25400"/>
                <wp:wrapNone/>
                <wp:docPr id="1887848697" name="Rectángulo 1887848697"/>
                <wp:cNvGraphicFramePr/>
                <a:graphic xmlns:a="http://schemas.openxmlformats.org/drawingml/2006/main">
                  <a:graphicData uri="http://schemas.microsoft.com/office/word/2010/wordprocessingShape">
                    <wps:wsp>
                      <wps:cNvSpPr/>
                      <wps:spPr>
                        <a:xfrm>
                          <a:off x="0" y="0"/>
                          <a:ext cx="5631815" cy="77470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61C440E" w14:textId="440FF691" w:rsidR="00DF0F46" w:rsidRDefault="00DF0F46" w:rsidP="005459A6">
                            <w:pPr>
                              <w:shd w:val="clear" w:color="auto" w:fill="002465"/>
                              <w:spacing w:line="275" w:lineRule="auto"/>
                              <w:jc w:val="right"/>
                              <w:textDirection w:val="btLr"/>
                            </w:pPr>
                            <w:r w:rsidRPr="00DF0F46">
                              <w:rPr>
                                <w:rFonts w:ascii="Tahoma" w:eastAsia="Tahoma" w:hAnsi="Tahoma" w:cs="Tahoma"/>
                                <w:b/>
                                <w:bCs/>
                                <w:color w:val="FFFFFF"/>
                                <w:sz w:val="36"/>
                              </w:rPr>
                              <w:t>MANUAL DE PROCEDIMIENTO DEL ARCHIVO CENTRAL</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4C1838FB" id="Rectángulo 1887848697" o:spid="_x0000_s1026" style="position:absolute;margin-left:48.2pt;margin-top:27.65pt;width:443.45pt;height:6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jsoDgIAADUEAAAOAAAAZHJzL2Uyb0RvYy54bWysU9uOEzEMfUfiH6K80+mUdruMOl2hLUVI&#10;K6i08AFuLp1IuZGknenf46Sl7QISEuIl44yd42P7ePEwGE0OIkTlbEvr0ZgSYZnjyu5a+u3r+s09&#10;JTGB5aCdFS09ikgflq9fLXrfiInrnOYiEASxsel9S7uUfFNVkXXCQBw5Lyw6pQsGEl7DruIBekQ3&#10;upqMx3dV7wL3wTERI/5dnZx0WfClFCx9kTKKRHRLkVsqZyjnNp/VcgHNLoDvFDvTgH9gYUBZTHqB&#10;WkECsg/qNyijWHDRyTRizlROSsVEqQGrqce/VPPcgRelFmxO9Jc2xf8Hyz4fnv0mYBt6H5uIZq5i&#10;kMHkL/IjQ2nW8dIsMSTC8Ofs7m19X88oYeibz6fzcelmdX3tQ0wfhTMkGy0NOIzSIzg8xYQZMfRn&#10;SE4WnVZ8rbQulywA8agDOQCOTqc6jwpfvIjSlvQtncymmJswQP1IDQlN43lLo92VfC+eFGVdgYEx&#10;Yf8MnrmtIHYnBgXkJJfg9pYX4XQC+AfLSTp61LZFhdNMKBpKtMB9QKPEJVD673FYnbZY5HUS2UrD&#10;dkCQbG4dP24CiZ6tFZJ7gpg2EFCvNaZFDWPC73sISEJ/siiSd/V0ggNK5TKd5QmRcOvZ3nrAss7h&#10;amD/TuZjKouSx2Hd+31yUpWxXamcyaI2y2zOe5TFf3svUddtX/4AAAD//wMAUEsDBBQABgAIAAAA&#10;IQCeYR/84QAAAAkBAAAPAAAAZHJzL2Rvd25yZXYueG1sTI/BTsMwDIbvk3iHyEjctnQr27rSdJpA&#10;wAExiYLENWtNW5Y4VZOt3dtjTnCz9X/6/TnbjtaIM/a+daRgPotAIJWuaqlW8PH+OE1A+KCp0sYR&#10;Krigh21+Ncl0WrmB3vBchFpwCflUK2hC6FIpfdmg1X7mOiTOvlxvdeC1r2XV64HLrZGLKFpJq1vi&#10;C43u8L7B8licrAIzf7pEer9PPh++C/PyLIfX42Kn1M31uLsDEXAMfzD86rM65Ox0cCeqvDAKNqtb&#10;JhUslzEIzjdJzMOBwfU6Bpln8v8H+Q8AAAD//wMAUEsBAi0AFAAGAAgAAAAhALaDOJL+AAAA4QEA&#10;ABMAAAAAAAAAAAAAAAAAAAAAAFtDb250ZW50X1R5cGVzXS54bWxQSwECLQAUAAYACAAAACEAOP0h&#10;/9YAAACUAQAACwAAAAAAAAAAAAAAAAAvAQAAX3JlbHMvLnJlbHNQSwECLQAUAAYACAAAACEAYK47&#10;KA4CAAA1BAAADgAAAAAAAAAAAAAAAAAuAgAAZHJzL2Uyb0RvYy54bWxQSwECLQAUAAYACAAAACEA&#10;nmEf/OEAAAAJAQAADwAAAAAAAAAAAAAAAABoBAAAZHJzL2Rvd25yZXYueG1sUEsFBgAAAAAEAAQA&#10;8wAAAHYFAAAAAA==&#10;" fillcolor="white [3201]" strokecolor="#4f81bd [3204]" strokeweight="2pt">
                <v:stroke startarrowwidth="narrow" startarrowlength="short" endarrowwidth="narrow" endarrowlength="short" joinstyle="round"/>
                <v:textbox inset="2.53958mm,1.2694mm,2.53958mm,1.2694mm">
                  <w:txbxContent>
                    <w:p w14:paraId="461C440E" w14:textId="440FF691" w:rsidR="00DF0F46" w:rsidRDefault="00DF0F46" w:rsidP="005459A6">
                      <w:pPr>
                        <w:shd w:val="clear" w:color="auto" w:fill="002465"/>
                        <w:spacing w:line="275" w:lineRule="auto"/>
                        <w:jc w:val="right"/>
                        <w:textDirection w:val="btLr"/>
                      </w:pPr>
                      <w:r w:rsidRPr="00DF0F46">
                        <w:rPr>
                          <w:rFonts w:ascii="Tahoma" w:eastAsia="Tahoma" w:hAnsi="Tahoma" w:cs="Tahoma"/>
                          <w:b/>
                          <w:bCs/>
                          <w:color w:val="FFFFFF"/>
                          <w:sz w:val="36"/>
                        </w:rPr>
                        <w:t>MANUAL DE PROCEDIMIENTO DEL ARCHIVO CENTRAL</w:t>
                      </w:r>
                    </w:p>
                  </w:txbxContent>
                </v:textbox>
              </v:rect>
            </w:pict>
          </mc:Fallback>
        </mc:AlternateContent>
      </w:r>
    </w:p>
    <w:p w14:paraId="4321D080" w14:textId="4C6FE5F3" w:rsidR="00DF0F46" w:rsidRPr="00B037F7" w:rsidRDefault="00DF0F46" w:rsidP="00FF3425">
      <w:pPr>
        <w:spacing w:line="360" w:lineRule="auto"/>
        <w:rPr>
          <w:rFonts w:ascii="Tahoma" w:hAnsi="Tahoma" w:cs="Tahoma"/>
          <w:sz w:val="24"/>
          <w:szCs w:val="24"/>
        </w:rPr>
      </w:pPr>
    </w:p>
    <w:p w14:paraId="19527449" w14:textId="403FFAF5" w:rsidR="00846BEC" w:rsidRPr="00B037F7" w:rsidRDefault="00846BEC" w:rsidP="00FF3425">
      <w:pPr>
        <w:spacing w:line="360" w:lineRule="auto"/>
        <w:rPr>
          <w:rFonts w:ascii="Tahoma" w:hAnsi="Tahoma" w:cs="Tahoma"/>
          <w:sz w:val="24"/>
          <w:szCs w:val="24"/>
        </w:rPr>
      </w:pPr>
    </w:p>
    <w:p w14:paraId="0B43DD6E" w14:textId="025DB4BE" w:rsidR="00846BEC" w:rsidRPr="00B037F7" w:rsidRDefault="00DF0F46" w:rsidP="00FF3425">
      <w:pPr>
        <w:spacing w:line="360" w:lineRule="auto"/>
        <w:rPr>
          <w:rFonts w:ascii="Tahoma" w:hAnsi="Tahoma" w:cs="Tahoma"/>
          <w:sz w:val="24"/>
          <w:szCs w:val="24"/>
        </w:rPr>
      </w:pPr>
      <w:r w:rsidRPr="00B037F7">
        <w:rPr>
          <w:rFonts w:ascii="Tahoma" w:hAnsi="Tahoma" w:cs="Tahoma"/>
          <w:noProof/>
          <w:sz w:val="24"/>
          <w:szCs w:val="24"/>
          <w:lang w:eastAsia="es-CO"/>
        </w:rPr>
        <mc:AlternateContent>
          <mc:Choice Requires="wps">
            <w:drawing>
              <wp:anchor distT="0" distB="0" distL="114300" distR="114300" simplePos="0" relativeHeight="251660288" behindDoc="0" locked="0" layoutInCell="1" allowOverlap="1" wp14:anchorId="07F02B16" wp14:editId="0CC721B1">
                <wp:simplePos x="0" y="0"/>
                <wp:positionH relativeFrom="column">
                  <wp:posOffset>2647315</wp:posOffset>
                </wp:positionH>
                <wp:positionV relativeFrom="paragraph">
                  <wp:posOffset>107315</wp:posOffset>
                </wp:positionV>
                <wp:extent cx="3638550" cy="495300"/>
                <wp:effectExtent l="19050" t="19050" r="19050" b="19050"/>
                <wp:wrapNone/>
                <wp:docPr id="3" name="3 Cuadro de texto"/>
                <wp:cNvGraphicFramePr/>
                <a:graphic xmlns:a="http://schemas.openxmlformats.org/drawingml/2006/main">
                  <a:graphicData uri="http://schemas.microsoft.com/office/word/2010/wordprocessingShape">
                    <wps:wsp>
                      <wps:cNvSpPr txBox="1"/>
                      <wps:spPr>
                        <a:xfrm>
                          <a:off x="0" y="0"/>
                          <a:ext cx="3638550" cy="495300"/>
                        </a:xfrm>
                        <a:prstGeom prst="rect">
                          <a:avLst/>
                        </a:prstGeom>
                        <a:solidFill>
                          <a:schemeClr val="lt1"/>
                        </a:solidFill>
                        <a:ln w="28575">
                          <a:solidFill>
                            <a:srgbClr val="92D050"/>
                          </a:solidFill>
                        </a:ln>
                        <a:effectLst/>
                      </wps:spPr>
                      <wps:style>
                        <a:lnRef idx="0">
                          <a:schemeClr val="accent1"/>
                        </a:lnRef>
                        <a:fillRef idx="0">
                          <a:schemeClr val="accent1"/>
                        </a:fillRef>
                        <a:effectRef idx="0">
                          <a:schemeClr val="accent1"/>
                        </a:effectRef>
                        <a:fontRef idx="minor">
                          <a:schemeClr val="dk1"/>
                        </a:fontRef>
                      </wps:style>
                      <wps:txbx>
                        <w:txbxContent>
                          <w:p w14:paraId="14CA0BE8" w14:textId="374ED3C8" w:rsidR="000C1EC3" w:rsidRPr="00FD38D7" w:rsidRDefault="000C1EC3" w:rsidP="006E075F">
                            <w:pPr>
                              <w:shd w:val="clear" w:color="auto" w:fill="9BBB59" w:themeFill="accent3"/>
                              <w:jc w:val="center"/>
                              <w:rPr>
                                <w:rFonts w:ascii="Tahoma" w:hAnsi="Tahoma" w:cs="Tahoma"/>
                                <w:b/>
                                <w:color w:val="FFFFFF" w:themeColor="background1"/>
                                <w:sz w:val="40"/>
                                <w:szCs w:val="40"/>
                              </w:rPr>
                            </w:pPr>
                            <w:r w:rsidRPr="00FD38D7">
                              <w:rPr>
                                <w:rFonts w:ascii="Tahoma" w:hAnsi="Tahoma" w:cs="Tahoma"/>
                                <w:b/>
                                <w:color w:val="FFFFFF" w:themeColor="background1"/>
                                <w:sz w:val="40"/>
                                <w:szCs w:val="40"/>
                              </w:rPr>
                              <w:t xml:space="preserve">Armenia, </w:t>
                            </w:r>
                            <w:r w:rsidR="00BB1BA1">
                              <w:rPr>
                                <w:rFonts w:ascii="Tahoma" w:hAnsi="Tahoma" w:cs="Tahoma"/>
                                <w:b/>
                                <w:color w:val="FFFFFF" w:themeColor="background1"/>
                                <w:sz w:val="40"/>
                                <w:szCs w:val="40"/>
                              </w:rPr>
                              <w:t>Mayo</w:t>
                            </w:r>
                            <w:r w:rsidRPr="00FD38D7">
                              <w:rPr>
                                <w:rFonts w:ascii="Tahoma" w:hAnsi="Tahoma" w:cs="Tahoma"/>
                                <w:b/>
                                <w:color w:val="FFFFFF" w:themeColor="background1"/>
                                <w:sz w:val="40"/>
                                <w:szCs w:val="40"/>
                              </w:rPr>
                              <w:t xml:space="preserve"> de 202</w:t>
                            </w:r>
                            <w:r w:rsidR="00AE2EFF">
                              <w:rPr>
                                <w:rFonts w:ascii="Tahoma" w:hAnsi="Tahoma" w:cs="Tahoma"/>
                                <w:b/>
                                <w:color w:val="FFFFFF" w:themeColor="background1"/>
                                <w:sz w:val="40"/>
                                <w:szCs w:val="4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F02B16" id="_x0000_t202" coordsize="21600,21600" o:spt="202" path="m,l,21600r21600,l21600,xe">
                <v:stroke joinstyle="miter"/>
                <v:path gradientshapeok="t" o:connecttype="rect"/>
              </v:shapetype>
              <v:shape id="3 Cuadro de texto" o:spid="_x0000_s1027" type="#_x0000_t202" style="position:absolute;margin-left:208.45pt;margin-top:8.45pt;width:286.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RmhQIAAJYFAAAOAAAAZHJzL2Uyb0RvYy54bWysVEtv2zAMvg/YfxB0X5xnmwRxiqxFhgFF&#10;W6wdelZkKREmi5qkxM5+fSnZebTrpcMuNiV+fH0iObuqS012wnkFJqe9TpcSYTgUyqxz+vNp+WVM&#10;iQ/MFEyDETndC0+v5p8/zSo7FX3YgC6EI+jE+Gllc7oJwU6zzPONKJnvgBUGlRJcyQIe3TorHKvQ&#10;e6mzfrd7kVXgCuuAC+/x9qZR0nnyL6Xg4V5KLwLROcXcQvq69F3FbzafsenaMbtRvE2D/UMWJVMG&#10;gx5d3bDAyNapv1yVijvwIEOHQ5mBlIqLVANW0+u+qeZxw6xItSA53h5p8v/PLb/bPdoHR0L9FWp8&#10;wEhIZf3U42Wsp5aujH/MlKAeKdwfaRN1IBwvBxeD8WiEKo664WQ06CZes5O1dT58E1CSKOTU4bMk&#10;ttju1geMiNADJAbzoFWxVFqnQ2wFca0d2TF8RB1SjmjxCqUNqXLaH48uR8nzK6V369XRwaR/08Vk&#10;m6hnMPSoTQwoUtu0iZ24SFLYaxEx2vwQkqgiUfJOloxzYY6ZJnRESazpI4Yt/pTVR4ybOtAiRQYT&#10;jsalMuAaml6TW/w6kCsbPD7NWd1RDPWqxsLPWmUFxR47yEEzXN7ypcJnvmU+PDCH04SdgRsi3ONH&#10;asBnglaiZAPuz3v3EY9NjlpKKpzOnPrfW+YEJfq7wfaf9IbDOM7pMBxd9vHgzjWrc43ZlteAvdPD&#10;XWR5EiM+6IMoHZTPuEgWMSqqmOEYO6fhIF6HZmfgIuJisUggHGDLwq15tDy6jizHJn6qn5mzbacH&#10;nJE7OMwxm75p+AYbLQ0stgGkStMQeW5YbfnH4U9D0i6quF3Ozwl1WqfzFwAAAP//AwBQSwMEFAAG&#10;AAgAAAAhAHM+b6faAAAACQEAAA8AAABkcnMvZG93bnJldi54bWxMj0FPg0AQhe8m/ofNmHizSw0h&#10;BVka00QP9lTqDxhgBCI7u2G3Bf+905Oe5k3ey5tvyv1qJ3WlOYyODWw3CSji1nUj9wY+z29PO1Ah&#10;Inc4OSYDPxRgX93flVh0buETXevYKynhUKCBIUZfaB3agSyGjfPE4n252WKUde51N+Mi5XbSz0mS&#10;aYsjy4UBPR0Gar/rizXwfho/Qp3yMTsfXGL10S8NemMeH9bXF1CR1vgXhhu+oEMlTI27cBfUZCDd&#10;ZrlExbhNCeS7XEQjIs1BV6X+/0H1CwAA//8DAFBLAQItABQABgAIAAAAIQC2gziS/gAAAOEBAAAT&#10;AAAAAAAAAAAAAAAAAAAAAABbQ29udGVudF9UeXBlc10ueG1sUEsBAi0AFAAGAAgAAAAhADj9If/W&#10;AAAAlAEAAAsAAAAAAAAAAAAAAAAALwEAAF9yZWxzLy5yZWxzUEsBAi0AFAAGAAgAAAAhAK58FGaF&#10;AgAAlgUAAA4AAAAAAAAAAAAAAAAALgIAAGRycy9lMm9Eb2MueG1sUEsBAi0AFAAGAAgAAAAhAHM+&#10;b6faAAAACQEAAA8AAAAAAAAAAAAAAAAA3wQAAGRycy9kb3ducmV2LnhtbFBLBQYAAAAABAAEAPMA&#10;AADmBQAAAAA=&#10;" fillcolor="white [3201]" strokecolor="#92d050" strokeweight="2.25pt">
                <v:textbox>
                  <w:txbxContent>
                    <w:p w14:paraId="14CA0BE8" w14:textId="374ED3C8" w:rsidR="000C1EC3" w:rsidRPr="00FD38D7" w:rsidRDefault="000C1EC3" w:rsidP="006E075F">
                      <w:pPr>
                        <w:shd w:val="clear" w:color="auto" w:fill="9BBB59" w:themeFill="accent3"/>
                        <w:jc w:val="center"/>
                        <w:rPr>
                          <w:rFonts w:ascii="Tahoma" w:hAnsi="Tahoma" w:cs="Tahoma"/>
                          <w:b/>
                          <w:color w:val="FFFFFF" w:themeColor="background1"/>
                          <w:sz w:val="40"/>
                          <w:szCs w:val="40"/>
                        </w:rPr>
                      </w:pPr>
                      <w:r w:rsidRPr="00FD38D7">
                        <w:rPr>
                          <w:rFonts w:ascii="Tahoma" w:hAnsi="Tahoma" w:cs="Tahoma"/>
                          <w:b/>
                          <w:color w:val="FFFFFF" w:themeColor="background1"/>
                          <w:sz w:val="40"/>
                          <w:szCs w:val="40"/>
                        </w:rPr>
                        <w:t xml:space="preserve">Armenia, </w:t>
                      </w:r>
                      <w:r w:rsidR="00BB1BA1">
                        <w:rPr>
                          <w:rFonts w:ascii="Tahoma" w:hAnsi="Tahoma" w:cs="Tahoma"/>
                          <w:b/>
                          <w:color w:val="FFFFFF" w:themeColor="background1"/>
                          <w:sz w:val="40"/>
                          <w:szCs w:val="40"/>
                        </w:rPr>
                        <w:t>Mayo</w:t>
                      </w:r>
                      <w:r w:rsidRPr="00FD38D7">
                        <w:rPr>
                          <w:rFonts w:ascii="Tahoma" w:hAnsi="Tahoma" w:cs="Tahoma"/>
                          <w:b/>
                          <w:color w:val="FFFFFF" w:themeColor="background1"/>
                          <w:sz w:val="40"/>
                          <w:szCs w:val="40"/>
                        </w:rPr>
                        <w:t xml:space="preserve"> de </w:t>
                      </w:r>
                      <w:r w:rsidRPr="00FD38D7">
                        <w:rPr>
                          <w:rFonts w:ascii="Tahoma" w:hAnsi="Tahoma" w:cs="Tahoma"/>
                          <w:b/>
                          <w:color w:val="FFFFFF" w:themeColor="background1"/>
                          <w:sz w:val="40"/>
                          <w:szCs w:val="40"/>
                        </w:rPr>
                        <w:t>202</w:t>
                      </w:r>
                      <w:r w:rsidR="00AE2EFF">
                        <w:rPr>
                          <w:rFonts w:ascii="Tahoma" w:hAnsi="Tahoma" w:cs="Tahoma"/>
                          <w:b/>
                          <w:color w:val="FFFFFF" w:themeColor="background1"/>
                          <w:sz w:val="40"/>
                          <w:szCs w:val="40"/>
                        </w:rPr>
                        <w:t>6</w:t>
                      </w:r>
                    </w:p>
                  </w:txbxContent>
                </v:textbox>
              </v:shape>
            </w:pict>
          </mc:Fallback>
        </mc:AlternateContent>
      </w:r>
    </w:p>
    <w:p w14:paraId="45926E52" w14:textId="08BE29FE" w:rsidR="00846BEC" w:rsidRPr="00B037F7" w:rsidRDefault="00846BEC" w:rsidP="00FF3425">
      <w:pPr>
        <w:spacing w:line="360" w:lineRule="auto"/>
        <w:rPr>
          <w:rFonts w:ascii="Tahoma" w:hAnsi="Tahoma" w:cs="Tahoma"/>
          <w:sz w:val="24"/>
          <w:szCs w:val="24"/>
        </w:rPr>
      </w:pPr>
    </w:p>
    <w:p w14:paraId="1D9F23D2" w14:textId="78F13E34" w:rsidR="00846BEC" w:rsidRPr="00B037F7" w:rsidRDefault="00846BEC" w:rsidP="00FF3425">
      <w:pPr>
        <w:spacing w:line="360" w:lineRule="auto"/>
        <w:rPr>
          <w:rFonts w:ascii="Tahoma" w:hAnsi="Tahoma" w:cs="Tahoma"/>
          <w:sz w:val="24"/>
          <w:szCs w:val="24"/>
        </w:rPr>
      </w:pPr>
    </w:p>
    <w:p w14:paraId="7D2DF592" w14:textId="77777777" w:rsidR="00846BEC" w:rsidRDefault="00846BEC" w:rsidP="00FF3425">
      <w:pPr>
        <w:spacing w:line="360" w:lineRule="auto"/>
        <w:rPr>
          <w:rFonts w:ascii="Tahoma" w:hAnsi="Tahoma" w:cs="Tahoma"/>
          <w:sz w:val="24"/>
          <w:szCs w:val="24"/>
        </w:rPr>
      </w:pPr>
    </w:p>
    <w:p w14:paraId="0AC8E7C7" w14:textId="77777777" w:rsidR="00B21697" w:rsidRPr="00B037F7" w:rsidRDefault="00B21697" w:rsidP="00FF3425">
      <w:pPr>
        <w:spacing w:line="360" w:lineRule="auto"/>
        <w:rPr>
          <w:rFonts w:ascii="Tahoma" w:hAnsi="Tahoma" w:cs="Tahoma"/>
          <w:sz w:val="24"/>
          <w:szCs w:val="24"/>
        </w:rPr>
      </w:pPr>
    </w:p>
    <w:p w14:paraId="6732CA6A" w14:textId="77777777" w:rsidR="009D1EED" w:rsidRPr="00B037F7" w:rsidRDefault="00A710EA" w:rsidP="00DF0F46">
      <w:pPr>
        <w:pStyle w:val="Prrafodelista"/>
        <w:numPr>
          <w:ilvl w:val="0"/>
          <w:numId w:val="2"/>
        </w:numPr>
        <w:spacing w:line="360" w:lineRule="auto"/>
        <w:ind w:left="0" w:firstLine="0"/>
        <w:rPr>
          <w:rFonts w:ascii="Tahoma" w:hAnsi="Tahoma" w:cs="Tahoma"/>
          <w:b/>
          <w:sz w:val="24"/>
          <w:szCs w:val="24"/>
        </w:rPr>
      </w:pPr>
      <w:r w:rsidRPr="00B037F7">
        <w:rPr>
          <w:rFonts w:ascii="Tahoma" w:hAnsi="Tahoma" w:cs="Tahoma"/>
          <w:b/>
          <w:sz w:val="24"/>
          <w:szCs w:val="24"/>
        </w:rPr>
        <w:t>INTRODUCCION</w:t>
      </w:r>
    </w:p>
    <w:p w14:paraId="228C1F66" w14:textId="77777777" w:rsidR="00D53133" w:rsidRPr="00B037F7" w:rsidRDefault="00D53133" w:rsidP="008C6648">
      <w:pPr>
        <w:tabs>
          <w:tab w:val="left" w:pos="5715"/>
        </w:tabs>
        <w:spacing w:after="0" w:line="360" w:lineRule="auto"/>
        <w:jc w:val="both"/>
        <w:rPr>
          <w:rFonts w:ascii="Tahoma" w:hAnsi="Tahoma" w:cs="Tahoma"/>
          <w:sz w:val="24"/>
          <w:szCs w:val="24"/>
        </w:rPr>
      </w:pPr>
      <w:r w:rsidRPr="00B037F7">
        <w:rPr>
          <w:rFonts w:ascii="Tahoma" w:hAnsi="Tahoma" w:cs="Tahoma"/>
          <w:sz w:val="24"/>
          <w:szCs w:val="24"/>
        </w:rPr>
        <w:t xml:space="preserve">El Archivo de </w:t>
      </w:r>
      <w:r w:rsidRPr="00B037F7">
        <w:rPr>
          <w:rFonts w:ascii="Tahoma" w:hAnsi="Tahoma" w:cs="Tahoma"/>
          <w:b/>
          <w:i/>
          <w:sz w:val="24"/>
          <w:szCs w:val="24"/>
        </w:rPr>
        <w:t>EMPRESAS PÚBLICAS DEL QUINDÍO EPQ S.A. E.S.P</w:t>
      </w:r>
      <w:r w:rsidRPr="00B037F7">
        <w:rPr>
          <w:rFonts w:ascii="Tahoma" w:hAnsi="Tahoma" w:cs="Tahoma"/>
          <w:sz w:val="24"/>
          <w:szCs w:val="24"/>
        </w:rPr>
        <w:t xml:space="preserve">., está formado por </w:t>
      </w:r>
      <w:r w:rsidRPr="00B037F7">
        <w:rPr>
          <w:rFonts w:ascii="Tahoma" w:hAnsi="Tahoma" w:cs="Tahoma"/>
          <w:bCs/>
          <w:sz w:val="24"/>
          <w:szCs w:val="24"/>
        </w:rPr>
        <w:t>la totalidad</w:t>
      </w:r>
      <w:r w:rsidRPr="00B037F7">
        <w:rPr>
          <w:rFonts w:ascii="Tahoma" w:hAnsi="Tahoma" w:cs="Tahoma"/>
          <w:b/>
          <w:bCs/>
          <w:sz w:val="24"/>
          <w:szCs w:val="24"/>
        </w:rPr>
        <w:t xml:space="preserve"> </w:t>
      </w:r>
      <w:r w:rsidRPr="00B037F7">
        <w:rPr>
          <w:rFonts w:ascii="Tahoma" w:hAnsi="Tahoma" w:cs="Tahoma"/>
          <w:sz w:val="24"/>
          <w:szCs w:val="24"/>
        </w:rPr>
        <w:t xml:space="preserve">de la documentación generada o recibida por cada una de las </w:t>
      </w:r>
      <w:r w:rsidR="008C6648" w:rsidRPr="00B037F7">
        <w:rPr>
          <w:rFonts w:ascii="Tahoma" w:hAnsi="Tahoma" w:cs="Tahoma"/>
          <w:sz w:val="24"/>
          <w:szCs w:val="24"/>
        </w:rPr>
        <w:t>oficinas productoras</w:t>
      </w:r>
      <w:r w:rsidRPr="00B037F7">
        <w:rPr>
          <w:rFonts w:ascii="Tahoma" w:hAnsi="Tahoma" w:cs="Tahoma"/>
          <w:sz w:val="24"/>
          <w:szCs w:val="24"/>
        </w:rPr>
        <w:t xml:space="preserve">, así como todos los documentos adquiridos por donación, depósito, compra, o cualquier otro sistema que así se determine. Todo ello constituye el Patrimonio Documental de la Empresa, </w:t>
      </w:r>
      <w:r w:rsidRPr="00B037F7">
        <w:rPr>
          <w:rFonts w:ascii="Tahoma" w:hAnsi="Tahoma" w:cs="Tahoma"/>
          <w:bCs/>
          <w:sz w:val="24"/>
          <w:szCs w:val="24"/>
        </w:rPr>
        <w:t>independientemente</w:t>
      </w:r>
      <w:r w:rsidRPr="00B037F7">
        <w:rPr>
          <w:rFonts w:ascii="Tahoma" w:hAnsi="Tahoma" w:cs="Tahoma"/>
          <w:b/>
          <w:bCs/>
          <w:sz w:val="24"/>
          <w:szCs w:val="24"/>
        </w:rPr>
        <w:t xml:space="preserve"> </w:t>
      </w:r>
      <w:r w:rsidRPr="00B037F7">
        <w:rPr>
          <w:rFonts w:ascii="Tahoma" w:hAnsi="Tahoma" w:cs="Tahoma"/>
          <w:sz w:val="24"/>
          <w:szCs w:val="24"/>
        </w:rPr>
        <w:t>del lugar en el que se encuentre custodiado.</w:t>
      </w:r>
    </w:p>
    <w:p w14:paraId="749D4C31" w14:textId="77777777" w:rsidR="008C6648" w:rsidRPr="00B037F7" w:rsidRDefault="008C6648" w:rsidP="008C6648">
      <w:pPr>
        <w:tabs>
          <w:tab w:val="left" w:pos="5715"/>
        </w:tabs>
        <w:spacing w:after="0" w:line="360" w:lineRule="auto"/>
        <w:jc w:val="both"/>
        <w:rPr>
          <w:rFonts w:ascii="Tahoma" w:hAnsi="Tahoma" w:cs="Tahoma"/>
          <w:sz w:val="24"/>
          <w:szCs w:val="24"/>
        </w:rPr>
      </w:pPr>
    </w:p>
    <w:p w14:paraId="5180E039" w14:textId="77777777" w:rsidR="00D53133" w:rsidRPr="00B037F7" w:rsidRDefault="00D53133" w:rsidP="008C6648">
      <w:pPr>
        <w:pStyle w:val="NormalWeb"/>
        <w:spacing w:before="0" w:beforeAutospacing="0" w:after="0" w:afterAutospacing="0" w:line="360" w:lineRule="auto"/>
        <w:jc w:val="both"/>
        <w:rPr>
          <w:rFonts w:ascii="Tahoma" w:eastAsiaTheme="minorHAnsi" w:hAnsi="Tahoma" w:cs="Tahoma"/>
          <w:lang w:eastAsia="en-US"/>
        </w:rPr>
      </w:pPr>
      <w:r w:rsidRPr="00B037F7">
        <w:rPr>
          <w:rFonts w:ascii="Tahoma" w:eastAsiaTheme="minorHAnsi" w:hAnsi="Tahoma" w:cs="Tahoma"/>
          <w:lang w:eastAsia="en-US"/>
        </w:rPr>
        <w:t xml:space="preserve">Este Manual de Procedimientos </w:t>
      </w:r>
      <w:r w:rsidR="008C6648" w:rsidRPr="00B037F7">
        <w:rPr>
          <w:rFonts w:ascii="Tahoma" w:eastAsiaTheme="minorHAnsi" w:hAnsi="Tahoma" w:cs="Tahoma"/>
          <w:lang w:eastAsia="en-US"/>
        </w:rPr>
        <w:t xml:space="preserve">permite </w:t>
      </w:r>
      <w:r w:rsidRPr="00B037F7">
        <w:rPr>
          <w:rFonts w:ascii="Tahoma" w:eastAsiaTheme="minorHAnsi" w:hAnsi="Tahoma" w:cs="Tahoma"/>
          <w:lang w:eastAsia="en-US"/>
        </w:rPr>
        <w:t>establecer las normas y lineamientos generales para la gestión eficiente y segura de la d</w:t>
      </w:r>
      <w:r w:rsidR="008C6648" w:rsidRPr="00B037F7">
        <w:rPr>
          <w:rFonts w:ascii="Tahoma" w:eastAsiaTheme="minorHAnsi" w:hAnsi="Tahoma" w:cs="Tahoma"/>
          <w:lang w:eastAsia="en-US"/>
        </w:rPr>
        <w:t xml:space="preserve">ocumentación que se archiva en </w:t>
      </w:r>
      <w:r w:rsidR="008C6648" w:rsidRPr="00B037F7">
        <w:rPr>
          <w:rFonts w:ascii="Tahoma" w:hAnsi="Tahoma" w:cs="Tahoma"/>
          <w:b/>
          <w:i/>
        </w:rPr>
        <w:t>EMPRESAS PÚBLICAS DEL QUINDÍO EPQ S.A. E.S.P</w:t>
      </w:r>
      <w:r w:rsidR="008C6648" w:rsidRPr="00B037F7">
        <w:rPr>
          <w:rFonts w:ascii="Tahoma" w:hAnsi="Tahoma" w:cs="Tahoma"/>
        </w:rPr>
        <w:t xml:space="preserve">., garantizando </w:t>
      </w:r>
      <w:r w:rsidRPr="00B037F7">
        <w:rPr>
          <w:rFonts w:ascii="Tahoma" w:eastAsiaTheme="minorHAnsi" w:hAnsi="Tahoma" w:cs="Tahoma"/>
          <w:lang w:eastAsia="en-US"/>
        </w:rPr>
        <w:t>la conservación, organización y accesibilidad de los documentos, cumpliendo con los requerimientos legales y normativos vigentes.</w:t>
      </w:r>
    </w:p>
    <w:p w14:paraId="5826BE40" w14:textId="77777777" w:rsidR="008C6648" w:rsidRPr="00B037F7" w:rsidRDefault="008C6648" w:rsidP="008C6648">
      <w:pPr>
        <w:pStyle w:val="NormalWeb"/>
        <w:spacing w:before="0" w:beforeAutospacing="0" w:after="0" w:afterAutospacing="0" w:line="360" w:lineRule="auto"/>
        <w:jc w:val="both"/>
        <w:rPr>
          <w:rFonts w:ascii="Tahoma" w:eastAsiaTheme="minorHAnsi" w:hAnsi="Tahoma" w:cs="Tahoma"/>
          <w:lang w:eastAsia="en-US"/>
        </w:rPr>
      </w:pPr>
    </w:p>
    <w:p w14:paraId="5CB97BFB" w14:textId="58708081" w:rsidR="00D53133" w:rsidRPr="00B21697" w:rsidRDefault="00D53133" w:rsidP="00B21697">
      <w:pPr>
        <w:pStyle w:val="NormalWeb"/>
        <w:spacing w:before="0" w:beforeAutospacing="0" w:after="0" w:afterAutospacing="0" w:line="360" w:lineRule="auto"/>
        <w:jc w:val="both"/>
        <w:rPr>
          <w:rFonts w:ascii="Tahoma" w:eastAsiaTheme="minorHAnsi" w:hAnsi="Tahoma" w:cs="Tahoma"/>
          <w:lang w:eastAsia="en-US"/>
        </w:rPr>
      </w:pPr>
      <w:r w:rsidRPr="00B037F7">
        <w:rPr>
          <w:rFonts w:ascii="Tahoma" w:eastAsiaTheme="minorHAnsi" w:hAnsi="Tahoma" w:cs="Tahoma"/>
          <w:lang w:eastAsia="en-US"/>
        </w:rPr>
        <w:t>A través de este manual se detallarán los procesos que se llevan a cabo en el archivo central, desde la recepción y clasificación de la documentación, hasta su conservación y disposición final. Además, se definirán las responsabilidades de cada actor involucrado en el proceso, así como los recursos necesarios para su óptima ejecución.</w:t>
      </w:r>
    </w:p>
    <w:p w14:paraId="52D6214D" w14:textId="77777777" w:rsidR="008C6648" w:rsidRPr="00B037F7" w:rsidRDefault="008C6648" w:rsidP="008C6648">
      <w:pPr>
        <w:spacing w:after="0" w:line="360" w:lineRule="auto"/>
        <w:rPr>
          <w:rFonts w:ascii="Tahoma" w:hAnsi="Tahoma" w:cs="Tahoma"/>
          <w:color w:val="000000"/>
          <w:sz w:val="24"/>
          <w:szCs w:val="24"/>
        </w:rPr>
      </w:pPr>
      <w:r w:rsidRPr="00B037F7">
        <w:rPr>
          <w:rFonts w:ascii="Tahoma" w:hAnsi="Tahoma" w:cs="Tahoma"/>
          <w:color w:val="000000"/>
          <w:sz w:val="24"/>
          <w:szCs w:val="24"/>
        </w:rPr>
        <w:t>La implementación de este manual permitirá:</w:t>
      </w:r>
    </w:p>
    <w:p w14:paraId="7BC86DFF" w14:textId="77777777" w:rsidR="008C6648" w:rsidRPr="00B037F7" w:rsidRDefault="008C6648" w:rsidP="008C6648">
      <w:pPr>
        <w:numPr>
          <w:ilvl w:val="0"/>
          <w:numId w:val="25"/>
        </w:numPr>
        <w:spacing w:after="0" w:line="360" w:lineRule="auto"/>
        <w:jc w:val="both"/>
        <w:rPr>
          <w:rFonts w:ascii="Tahoma" w:hAnsi="Tahoma" w:cs="Tahoma"/>
          <w:color w:val="000000"/>
          <w:sz w:val="24"/>
          <w:szCs w:val="24"/>
        </w:rPr>
      </w:pPr>
      <w:r w:rsidRPr="00B037F7">
        <w:rPr>
          <w:rFonts w:ascii="Tahoma" w:hAnsi="Tahoma" w:cs="Tahoma"/>
          <w:b/>
          <w:color w:val="000000"/>
          <w:sz w:val="24"/>
          <w:szCs w:val="24"/>
        </w:rPr>
        <w:t>Unificar criterios</w:t>
      </w:r>
      <w:r w:rsidRPr="00B037F7">
        <w:rPr>
          <w:rFonts w:ascii="Tahoma" w:hAnsi="Tahoma" w:cs="Tahoma"/>
          <w:color w:val="000000"/>
          <w:sz w:val="24"/>
          <w:szCs w:val="24"/>
        </w:rPr>
        <w:t>: Establecer un lenguaje común y procedimientos estandarizados para todos los colaboradores.</w:t>
      </w:r>
    </w:p>
    <w:p w14:paraId="5330C679" w14:textId="77777777" w:rsidR="008C6648" w:rsidRPr="00B037F7" w:rsidRDefault="008C6648" w:rsidP="008C6648">
      <w:pPr>
        <w:numPr>
          <w:ilvl w:val="0"/>
          <w:numId w:val="25"/>
        </w:numPr>
        <w:spacing w:after="0" w:line="360" w:lineRule="auto"/>
        <w:jc w:val="both"/>
        <w:rPr>
          <w:rFonts w:ascii="Tahoma" w:hAnsi="Tahoma" w:cs="Tahoma"/>
          <w:color w:val="000000"/>
          <w:sz w:val="24"/>
          <w:szCs w:val="24"/>
        </w:rPr>
      </w:pPr>
      <w:r w:rsidRPr="00B037F7">
        <w:rPr>
          <w:rFonts w:ascii="Tahoma" w:hAnsi="Tahoma" w:cs="Tahoma"/>
          <w:b/>
          <w:color w:val="000000"/>
          <w:sz w:val="24"/>
          <w:szCs w:val="24"/>
        </w:rPr>
        <w:lastRenderedPageBreak/>
        <w:t>Optimizar recursos</w:t>
      </w:r>
      <w:r w:rsidRPr="00B037F7">
        <w:rPr>
          <w:rFonts w:ascii="Tahoma" w:hAnsi="Tahoma" w:cs="Tahoma"/>
          <w:color w:val="000000"/>
          <w:sz w:val="24"/>
          <w:szCs w:val="24"/>
        </w:rPr>
        <w:t>: Aumentar la eficiencia en la gestión documental y reducir costos.</w:t>
      </w:r>
    </w:p>
    <w:p w14:paraId="113AED19" w14:textId="77777777" w:rsidR="008C6648" w:rsidRPr="00B037F7" w:rsidRDefault="008C6648" w:rsidP="008C6648">
      <w:pPr>
        <w:numPr>
          <w:ilvl w:val="0"/>
          <w:numId w:val="25"/>
        </w:numPr>
        <w:spacing w:after="0" w:line="360" w:lineRule="auto"/>
        <w:jc w:val="both"/>
        <w:rPr>
          <w:rFonts w:ascii="Tahoma" w:hAnsi="Tahoma" w:cs="Tahoma"/>
          <w:color w:val="000000"/>
          <w:sz w:val="24"/>
          <w:szCs w:val="24"/>
        </w:rPr>
      </w:pPr>
      <w:r w:rsidRPr="00B037F7">
        <w:rPr>
          <w:rFonts w:ascii="Tahoma" w:hAnsi="Tahoma" w:cs="Tahoma"/>
          <w:b/>
          <w:color w:val="000000"/>
          <w:sz w:val="24"/>
          <w:szCs w:val="24"/>
        </w:rPr>
        <w:t>Facilitar la búsqueda y recuperación de documentos</w:t>
      </w:r>
      <w:r w:rsidRPr="00B037F7">
        <w:rPr>
          <w:rFonts w:ascii="Tahoma" w:hAnsi="Tahoma" w:cs="Tahoma"/>
          <w:color w:val="000000"/>
          <w:sz w:val="24"/>
          <w:szCs w:val="24"/>
        </w:rPr>
        <w:t>: Garantizar la accesibilidad de la información cuando sea requerida.</w:t>
      </w:r>
    </w:p>
    <w:p w14:paraId="1CA68318" w14:textId="77777777" w:rsidR="008C6648" w:rsidRPr="00B037F7" w:rsidRDefault="008C6648" w:rsidP="008C6648">
      <w:pPr>
        <w:numPr>
          <w:ilvl w:val="0"/>
          <w:numId w:val="25"/>
        </w:numPr>
        <w:spacing w:after="0" w:line="360" w:lineRule="auto"/>
        <w:jc w:val="both"/>
        <w:rPr>
          <w:rFonts w:ascii="Tahoma" w:hAnsi="Tahoma" w:cs="Tahoma"/>
          <w:color w:val="000000"/>
          <w:sz w:val="24"/>
          <w:szCs w:val="24"/>
        </w:rPr>
      </w:pPr>
      <w:r w:rsidRPr="00B037F7">
        <w:rPr>
          <w:rFonts w:ascii="Tahoma" w:hAnsi="Tahoma" w:cs="Tahoma"/>
          <w:b/>
          <w:color w:val="000000"/>
          <w:sz w:val="24"/>
          <w:szCs w:val="24"/>
        </w:rPr>
        <w:t>Cumplir con la normativa:</w:t>
      </w:r>
      <w:r w:rsidRPr="00B037F7">
        <w:rPr>
          <w:rFonts w:ascii="Tahoma" w:hAnsi="Tahoma" w:cs="Tahoma"/>
          <w:color w:val="000000"/>
          <w:sz w:val="24"/>
          <w:szCs w:val="24"/>
        </w:rPr>
        <w:t xml:space="preserve"> Asegurar el cumplimiento de las leyes y regulaciones aplicables en materia de archivos.</w:t>
      </w:r>
    </w:p>
    <w:p w14:paraId="3AFFED3C" w14:textId="77777777" w:rsidR="00A710EA" w:rsidRPr="00B037F7" w:rsidRDefault="00A710EA" w:rsidP="008C6648">
      <w:pPr>
        <w:pStyle w:val="Default"/>
        <w:spacing w:line="360" w:lineRule="auto"/>
        <w:jc w:val="both"/>
        <w:rPr>
          <w:rFonts w:ascii="Tahoma" w:hAnsi="Tahoma" w:cs="Tahoma"/>
        </w:rPr>
      </w:pPr>
      <w:r w:rsidRPr="00B037F7">
        <w:rPr>
          <w:rFonts w:ascii="Tahoma" w:hAnsi="Tahoma" w:cs="Tahoma"/>
        </w:rPr>
        <w:t xml:space="preserve"> </w:t>
      </w:r>
    </w:p>
    <w:p w14:paraId="073CF583" w14:textId="77777777" w:rsidR="00BE3D1E" w:rsidRPr="00B037F7" w:rsidRDefault="00BE3D1E" w:rsidP="00BE3D1E">
      <w:pPr>
        <w:pStyle w:val="Prrafodelista"/>
        <w:spacing w:after="160" w:line="360" w:lineRule="auto"/>
        <w:ind w:left="786"/>
        <w:rPr>
          <w:rFonts w:ascii="Tahoma" w:hAnsi="Tahoma" w:cs="Tahoma"/>
          <w:b/>
          <w:bCs/>
          <w:sz w:val="24"/>
          <w:szCs w:val="24"/>
        </w:rPr>
      </w:pPr>
    </w:p>
    <w:p w14:paraId="48A3467B" w14:textId="77777777" w:rsidR="005E7FE1" w:rsidRPr="00B037F7" w:rsidRDefault="005E7FE1" w:rsidP="00DF0F46">
      <w:pPr>
        <w:pStyle w:val="Prrafodelista"/>
        <w:numPr>
          <w:ilvl w:val="0"/>
          <w:numId w:val="2"/>
        </w:numPr>
        <w:spacing w:after="160" w:line="360" w:lineRule="auto"/>
        <w:rPr>
          <w:rFonts w:ascii="Tahoma" w:hAnsi="Tahoma" w:cs="Tahoma"/>
          <w:b/>
          <w:bCs/>
          <w:sz w:val="24"/>
          <w:szCs w:val="24"/>
        </w:rPr>
      </w:pPr>
      <w:r w:rsidRPr="00B037F7">
        <w:rPr>
          <w:rFonts w:ascii="Tahoma" w:hAnsi="Tahoma" w:cs="Tahoma"/>
          <w:b/>
          <w:bCs/>
          <w:sz w:val="24"/>
          <w:szCs w:val="24"/>
        </w:rPr>
        <w:t>OBJETIVO GENERAL</w:t>
      </w:r>
    </w:p>
    <w:p w14:paraId="6716A3F6" w14:textId="6262F974" w:rsidR="009E2EC3" w:rsidRPr="00B037F7" w:rsidRDefault="00BE3D1E" w:rsidP="00FF3425">
      <w:pPr>
        <w:spacing w:line="360" w:lineRule="auto"/>
        <w:ind w:right="120"/>
        <w:jc w:val="both"/>
        <w:rPr>
          <w:rFonts w:ascii="Tahoma" w:eastAsia="Tahoma" w:hAnsi="Tahoma" w:cs="Tahoma"/>
          <w:sz w:val="24"/>
          <w:szCs w:val="24"/>
        </w:rPr>
      </w:pPr>
      <w:r w:rsidRPr="00B037F7">
        <w:rPr>
          <w:rFonts w:ascii="Tahoma" w:eastAsia="Tahoma" w:hAnsi="Tahoma" w:cs="Tahoma"/>
          <w:sz w:val="24"/>
          <w:szCs w:val="24"/>
        </w:rPr>
        <w:t xml:space="preserve">Establecer el conjunto de normas y lineamientos claros y concisos que regulen la gestión integral de la documentación de </w:t>
      </w:r>
      <w:r w:rsidRPr="00B037F7">
        <w:rPr>
          <w:rFonts w:ascii="Tahoma" w:hAnsi="Tahoma" w:cs="Tahoma"/>
          <w:b/>
          <w:i/>
          <w:sz w:val="24"/>
          <w:szCs w:val="24"/>
        </w:rPr>
        <w:t>EMPRESAS PÚBLICAS DEL QUINDÍO EPQ S.A. E.S.P</w:t>
      </w:r>
      <w:r w:rsidRPr="00B037F7">
        <w:rPr>
          <w:rFonts w:ascii="Tahoma" w:hAnsi="Tahoma" w:cs="Tahoma"/>
          <w:sz w:val="24"/>
          <w:szCs w:val="24"/>
        </w:rPr>
        <w:t>., garantizando la eficiencia, seguridad, accesibilidad y transparencia de la información a lo largo del ciclo vital, desde su creación hasta su disposición final y que contribuyan al buen funcionamiento de la entidad.</w:t>
      </w:r>
    </w:p>
    <w:p w14:paraId="6A9D07C1" w14:textId="77777777" w:rsidR="005E7FE1" w:rsidRPr="00B037F7" w:rsidRDefault="005E7FE1" w:rsidP="00DF0F46">
      <w:pPr>
        <w:pStyle w:val="Prrafodelista"/>
        <w:numPr>
          <w:ilvl w:val="0"/>
          <w:numId w:val="2"/>
        </w:numPr>
        <w:spacing w:after="160" w:line="360" w:lineRule="auto"/>
        <w:rPr>
          <w:rFonts w:ascii="Tahoma" w:hAnsi="Tahoma" w:cs="Tahoma"/>
          <w:b/>
          <w:bCs/>
          <w:sz w:val="24"/>
          <w:szCs w:val="24"/>
        </w:rPr>
      </w:pPr>
      <w:r w:rsidRPr="00B037F7">
        <w:rPr>
          <w:rFonts w:ascii="Tahoma" w:hAnsi="Tahoma" w:cs="Tahoma"/>
          <w:b/>
          <w:bCs/>
          <w:sz w:val="24"/>
          <w:szCs w:val="24"/>
        </w:rPr>
        <w:t>ALCANCE</w:t>
      </w:r>
    </w:p>
    <w:p w14:paraId="0D3EC235" w14:textId="78DD71C8" w:rsidR="009E2EC3" w:rsidRPr="00B037F7" w:rsidRDefault="005E7FE1" w:rsidP="00FF3425">
      <w:pPr>
        <w:spacing w:line="360" w:lineRule="auto"/>
        <w:jc w:val="both"/>
        <w:rPr>
          <w:rFonts w:ascii="Tahoma" w:hAnsi="Tahoma" w:cs="Tahoma"/>
          <w:sz w:val="24"/>
          <w:szCs w:val="24"/>
        </w:rPr>
      </w:pPr>
      <w:r w:rsidRPr="00B037F7">
        <w:rPr>
          <w:rFonts w:ascii="Tahoma" w:hAnsi="Tahoma" w:cs="Tahoma"/>
          <w:sz w:val="24"/>
          <w:szCs w:val="24"/>
        </w:rPr>
        <w:t>Todas la</w:t>
      </w:r>
      <w:r w:rsidR="009D1EED" w:rsidRPr="00B037F7">
        <w:rPr>
          <w:rFonts w:ascii="Tahoma" w:hAnsi="Tahoma" w:cs="Tahoma"/>
          <w:sz w:val="24"/>
          <w:szCs w:val="24"/>
        </w:rPr>
        <w:t xml:space="preserve">s </w:t>
      </w:r>
      <w:r w:rsidR="00CB6CD9" w:rsidRPr="00B037F7">
        <w:rPr>
          <w:rFonts w:ascii="Tahoma" w:hAnsi="Tahoma" w:cs="Tahoma"/>
          <w:sz w:val="24"/>
          <w:szCs w:val="24"/>
        </w:rPr>
        <w:t xml:space="preserve">Subgerencias y Oficinas hacen parte </w:t>
      </w:r>
      <w:r w:rsidR="009D1EED" w:rsidRPr="00B037F7">
        <w:rPr>
          <w:rFonts w:ascii="Tahoma" w:hAnsi="Tahoma" w:cs="Tahoma"/>
          <w:sz w:val="24"/>
          <w:szCs w:val="24"/>
        </w:rPr>
        <w:t>de</w:t>
      </w:r>
      <w:r w:rsidR="00CB6CD9" w:rsidRPr="00B037F7">
        <w:rPr>
          <w:rFonts w:ascii="Tahoma" w:hAnsi="Tahoma" w:cs="Tahoma"/>
          <w:sz w:val="24"/>
          <w:szCs w:val="24"/>
        </w:rPr>
        <w:t xml:space="preserve"> las Empresas Públicas del Quindío SA. ESP</w:t>
      </w:r>
      <w:r w:rsidR="009D1EED" w:rsidRPr="00B037F7">
        <w:rPr>
          <w:rFonts w:ascii="Tahoma" w:hAnsi="Tahoma" w:cs="Tahoma"/>
          <w:sz w:val="24"/>
          <w:szCs w:val="24"/>
        </w:rPr>
        <w:t xml:space="preserve">, conforme </w:t>
      </w:r>
      <w:r w:rsidR="00CB6CD9" w:rsidRPr="00B037F7">
        <w:rPr>
          <w:rFonts w:ascii="Tahoma" w:hAnsi="Tahoma" w:cs="Tahoma"/>
          <w:sz w:val="24"/>
          <w:szCs w:val="24"/>
        </w:rPr>
        <w:t>al Organigrama de la Entidad</w:t>
      </w:r>
      <w:r w:rsidRPr="00B037F7">
        <w:rPr>
          <w:rFonts w:ascii="Tahoma" w:hAnsi="Tahoma" w:cs="Tahoma"/>
          <w:sz w:val="24"/>
          <w:szCs w:val="24"/>
        </w:rPr>
        <w:t xml:space="preserve">. </w:t>
      </w:r>
    </w:p>
    <w:p w14:paraId="6EAD5678" w14:textId="77777777" w:rsidR="00B21697" w:rsidRPr="00B21697" w:rsidRDefault="005E7FE1" w:rsidP="002F3482">
      <w:pPr>
        <w:pStyle w:val="Prrafodelista"/>
        <w:numPr>
          <w:ilvl w:val="0"/>
          <w:numId w:val="2"/>
        </w:numPr>
        <w:spacing w:after="160" w:line="360" w:lineRule="auto"/>
        <w:jc w:val="both"/>
        <w:rPr>
          <w:rFonts w:ascii="Tahoma" w:hAnsi="Tahoma" w:cs="Tahoma"/>
          <w:b/>
          <w:bCs/>
          <w:sz w:val="24"/>
          <w:szCs w:val="24"/>
        </w:rPr>
      </w:pPr>
      <w:r w:rsidRPr="00B21697">
        <w:rPr>
          <w:rFonts w:ascii="Tahoma" w:hAnsi="Tahoma" w:cs="Tahoma"/>
          <w:b/>
          <w:bCs/>
          <w:sz w:val="24"/>
          <w:szCs w:val="24"/>
        </w:rPr>
        <w:t>RESPONSABLE</w:t>
      </w:r>
      <w:r w:rsidR="00BE3D1E" w:rsidRPr="00B21697">
        <w:rPr>
          <w:rFonts w:ascii="Tahoma" w:hAnsi="Tahoma" w:cs="Tahoma"/>
          <w:b/>
          <w:bCs/>
          <w:sz w:val="24"/>
          <w:szCs w:val="24"/>
        </w:rPr>
        <w:t>S</w:t>
      </w:r>
      <w:r w:rsidR="00B21697" w:rsidRPr="00B21697">
        <w:rPr>
          <w:rFonts w:ascii="Tahoma" w:hAnsi="Tahoma" w:cs="Tahoma"/>
          <w:b/>
          <w:bCs/>
          <w:sz w:val="24"/>
          <w:szCs w:val="24"/>
        </w:rPr>
        <w:t xml:space="preserve"> </w:t>
      </w:r>
    </w:p>
    <w:p w14:paraId="7BA8FBCB" w14:textId="234D7C7C" w:rsidR="00CB6CD9" w:rsidRPr="00B21697" w:rsidRDefault="003C3F36" w:rsidP="00B21697">
      <w:pPr>
        <w:spacing w:after="160" w:line="360" w:lineRule="auto"/>
        <w:jc w:val="both"/>
        <w:rPr>
          <w:rStyle w:val="markedcontent"/>
          <w:rFonts w:ascii="Tahoma" w:hAnsi="Tahoma" w:cs="Tahoma"/>
          <w:sz w:val="24"/>
          <w:szCs w:val="24"/>
        </w:rPr>
      </w:pPr>
      <w:r w:rsidRPr="00B21697">
        <w:rPr>
          <w:rFonts w:ascii="Tahoma" w:hAnsi="Tahoma" w:cs="Tahoma"/>
          <w:sz w:val="24"/>
          <w:szCs w:val="24"/>
        </w:rPr>
        <w:t>Es responsabilidad de Subgerente Adminis</w:t>
      </w:r>
      <w:r w:rsidR="001101E6" w:rsidRPr="00B21697">
        <w:rPr>
          <w:rFonts w:ascii="Tahoma" w:hAnsi="Tahoma" w:cs="Tahoma"/>
          <w:sz w:val="24"/>
          <w:szCs w:val="24"/>
        </w:rPr>
        <w:t xml:space="preserve">trativo y Financiero, el </w:t>
      </w:r>
      <w:proofErr w:type="gramStart"/>
      <w:r w:rsidR="001101E6" w:rsidRPr="00B21697">
        <w:rPr>
          <w:rFonts w:ascii="Tahoma" w:hAnsi="Tahoma" w:cs="Tahoma"/>
          <w:sz w:val="24"/>
          <w:szCs w:val="24"/>
        </w:rPr>
        <w:t>Jefe</w:t>
      </w:r>
      <w:proofErr w:type="gramEnd"/>
      <w:r w:rsidRPr="00B21697">
        <w:rPr>
          <w:rFonts w:ascii="Tahoma" w:hAnsi="Tahoma" w:cs="Tahoma"/>
          <w:sz w:val="24"/>
          <w:szCs w:val="24"/>
        </w:rPr>
        <w:t xml:space="preserve"> Oficina de Gestión </w:t>
      </w:r>
      <w:r w:rsidR="001101E6" w:rsidRPr="00B21697">
        <w:rPr>
          <w:rFonts w:ascii="Tahoma" w:hAnsi="Tahoma" w:cs="Tahoma"/>
          <w:sz w:val="24"/>
          <w:szCs w:val="24"/>
        </w:rPr>
        <w:t>Administrativa</w:t>
      </w:r>
      <w:r w:rsidRPr="00B21697">
        <w:rPr>
          <w:rFonts w:ascii="Tahoma" w:hAnsi="Tahoma" w:cs="Tahoma"/>
          <w:sz w:val="24"/>
          <w:szCs w:val="24"/>
        </w:rPr>
        <w:t xml:space="preserve"> y el Técnico</w:t>
      </w:r>
      <w:r w:rsidR="001101E6" w:rsidRPr="00B21697">
        <w:rPr>
          <w:rFonts w:ascii="Tahoma" w:hAnsi="Tahoma" w:cs="Tahoma"/>
          <w:sz w:val="24"/>
          <w:szCs w:val="24"/>
        </w:rPr>
        <w:t xml:space="preserve"> Administrativo</w:t>
      </w:r>
      <w:r w:rsidRPr="00B21697">
        <w:rPr>
          <w:rFonts w:ascii="Tahoma" w:hAnsi="Tahoma" w:cs="Tahoma"/>
          <w:sz w:val="24"/>
          <w:szCs w:val="24"/>
        </w:rPr>
        <w:t xml:space="preserve"> encargado del Archivo Central de </w:t>
      </w:r>
      <w:r w:rsidRPr="00B21697">
        <w:rPr>
          <w:rStyle w:val="markedcontent"/>
          <w:rFonts w:ascii="Tahoma" w:hAnsi="Tahoma" w:cs="Tahoma"/>
          <w:b/>
          <w:i/>
          <w:sz w:val="24"/>
          <w:szCs w:val="24"/>
        </w:rPr>
        <w:t>EMPRESAS PÚBLICAS DEL QUINDIO EPQ SA ESP</w:t>
      </w:r>
      <w:r w:rsidRPr="00B21697">
        <w:rPr>
          <w:rStyle w:val="markedcontent"/>
          <w:rFonts w:ascii="Tahoma" w:hAnsi="Tahoma" w:cs="Tahoma"/>
          <w:sz w:val="24"/>
          <w:szCs w:val="24"/>
        </w:rPr>
        <w:t>.</w:t>
      </w:r>
    </w:p>
    <w:p w14:paraId="1CD0872B" w14:textId="77777777" w:rsidR="003C3F36" w:rsidRPr="00B037F7" w:rsidRDefault="003C3F36" w:rsidP="00FF3425">
      <w:pPr>
        <w:spacing w:line="360" w:lineRule="auto"/>
        <w:jc w:val="both"/>
        <w:rPr>
          <w:rFonts w:ascii="Tahoma" w:hAnsi="Tahoma" w:cs="Tahoma"/>
          <w:sz w:val="24"/>
          <w:szCs w:val="24"/>
        </w:rPr>
      </w:pPr>
    </w:p>
    <w:p w14:paraId="06DE502C" w14:textId="77777777" w:rsidR="005E7FE1" w:rsidRPr="00B037F7" w:rsidRDefault="005E7FE1" w:rsidP="00DF0F46">
      <w:pPr>
        <w:pStyle w:val="Prrafodelista"/>
        <w:numPr>
          <w:ilvl w:val="0"/>
          <w:numId w:val="2"/>
        </w:numPr>
        <w:spacing w:after="160" w:line="360" w:lineRule="auto"/>
        <w:rPr>
          <w:rFonts w:ascii="Tahoma" w:hAnsi="Tahoma" w:cs="Tahoma"/>
          <w:b/>
          <w:bCs/>
          <w:sz w:val="24"/>
          <w:szCs w:val="24"/>
        </w:rPr>
      </w:pPr>
      <w:r w:rsidRPr="00B037F7">
        <w:rPr>
          <w:rFonts w:ascii="Tahoma" w:hAnsi="Tahoma" w:cs="Tahoma"/>
          <w:b/>
          <w:bCs/>
          <w:sz w:val="24"/>
          <w:szCs w:val="24"/>
        </w:rPr>
        <w:lastRenderedPageBreak/>
        <w:t>TÉRMINOS Y DEFINICIONES</w:t>
      </w:r>
      <w:r w:rsidR="00D06A97" w:rsidRPr="00B037F7">
        <w:rPr>
          <w:rFonts w:ascii="Tahoma" w:hAnsi="Tahoma" w:cs="Tahoma"/>
          <w:b/>
          <w:bCs/>
          <w:sz w:val="24"/>
          <w:szCs w:val="24"/>
        </w:rPr>
        <w:t>:</w:t>
      </w:r>
    </w:p>
    <w:p w14:paraId="19B64968" w14:textId="77777777" w:rsidR="005E7FE1" w:rsidRPr="00B037F7" w:rsidRDefault="005E7FE1" w:rsidP="00FF3425">
      <w:pPr>
        <w:pStyle w:val="Prrafodelista"/>
        <w:spacing w:after="160" w:line="360" w:lineRule="auto"/>
        <w:ind w:left="786"/>
        <w:rPr>
          <w:rFonts w:ascii="Tahoma" w:hAnsi="Tahoma" w:cs="Tahoma"/>
          <w:b/>
          <w:bCs/>
          <w:sz w:val="24"/>
          <w:szCs w:val="24"/>
        </w:rPr>
      </w:pPr>
    </w:p>
    <w:p w14:paraId="012ACEB6"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Acceso a Documentos de Archivo: </w:t>
      </w:r>
      <w:r w:rsidRPr="00B037F7">
        <w:rPr>
          <w:rStyle w:val="markedcontent"/>
          <w:rFonts w:ascii="Tahoma" w:hAnsi="Tahoma" w:cs="Tahoma"/>
          <w:sz w:val="24"/>
          <w:szCs w:val="24"/>
        </w:rPr>
        <w:t>Derecho de los ciudadanos a consultar la información que conservan los archivos públicos, en los términos consagrados por la ley.</w:t>
      </w:r>
    </w:p>
    <w:p w14:paraId="6248CADF"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Acervo Documental: </w:t>
      </w:r>
      <w:r w:rsidRPr="00B037F7">
        <w:rPr>
          <w:rStyle w:val="markedcontent"/>
          <w:rFonts w:ascii="Tahoma" w:hAnsi="Tahoma" w:cs="Tahoma"/>
          <w:sz w:val="24"/>
          <w:szCs w:val="24"/>
        </w:rPr>
        <w:t>Conjunto de documentos de archivo, conservados por su valor sustantivo, histórico y cultural.</w:t>
      </w:r>
    </w:p>
    <w:p w14:paraId="1D9BB40B"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Administración de Archivos</w:t>
      </w:r>
      <w:r w:rsidRPr="00B037F7">
        <w:rPr>
          <w:rStyle w:val="markedcontent"/>
          <w:rFonts w:ascii="Tahoma" w:hAnsi="Tahoma" w:cs="Tahoma"/>
          <w:sz w:val="24"/>
          <w:szCs w:val="24"/>
        </w:rPr>
        <w:t>: Conjunto de estrategias organizacionales dirigidas a la planeación, dirección y control de los recursos físicos, técnicos, tecnológicos, financieros y del talento humano, para el eficiente funcionamiento de los archivos.</w:t>
      </w:r>
    </w:p>
    <w:p w14:paraId="7956BF91"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Almacenamiento de Documentos: </w:t>
      </w:r>
      <w:r w:rsidRPr="00B037F7">
        <w:rPr>
          <w:rStyle w:val="markedcontent"/>
          <w:rFonts w:ascii="Tahoma" w:hAnsi="Tahoma" w:cs="Tahoma"/>
          <w:sz w:val="24"/>
          <w:szCs w:val="24"/>
        </w:rPr>
        <w:t>Acción de guardar sistemáticamente documentos de archivos en espacios, mobiliario y unidades de conservación apropiadas.</w:t>
      </w:r>
    </w:p>
    <w:p w14:paraId="10001903"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Fonts w:ascii="Tahoma" w:hAnsi="Tahoma" w:cs="Tahoma"/>
          <w:color w:val="575757"/>
          <w:sz w:val="24"/>
          <w:szCs w:val="24"/>
        </w:rPr>
      </w:pPr>
      <w:r w:rsidRPr="00B037F7">
        <w:rPr>
          <w:rStyle w:val="markedcontent"/>
          <w:rFonts w:ascii="Tahoma" w:hAnsi="Tahoma" w:cs="Tahoma"/>
          <w:b/>
          <w:sz w:val="24"/>
          <w:szCs w:val="24"/>
        </w:rPr>
        <w:t xml:space="preserve">Archivo: </w:t>
      </w:r>
      <w:r w:rsidRPr="00B037F7">
        <w:rPr>
          <w:rStyle w:val="markedcontent"/>
          <w:rFonts w:ascii="Tahoma" w:hAnsi="Tahoma" w:cs="Tahoma"/>
          <w:sz w:val="24"/>
          <w:szCs w:val="24"/>
        </w:rPr>
        <w:t>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w:t>
      </w:r>
    </w:p>
    <w:p w14:paraId="6ECC3AF7"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b/>
          <w:sz w:val="24"/>
          <w:szCs w:val="24"/>
        </w:rPr>
      </w:pPr>
      <w:r w:rsidRPr="00B037F7">
        <w:rPr>
          <w:rStyle w:val="markedcontent"/>
          <w:rFonts w:ascii="Tahoma" w:hAnsi="Tahoma" w:cs="Tahoma"/>
          <w:b/>
          <w:sz w:val="24"/>
          <w:szCs w:val="24"/>
        </w:rPr>
        <w:t xml:space="preserve">Archivo Central: </w:t>
      </w:r>
      <w:r w:rsidRPr="00B037F7">
        <w:rPr>
          <w:rStyle w:val="markedcontent"/>
          <w:rFonts w:ascii="Tahoma" w:hAnsi="Tahoma" w:cs="Tahoma"/>
          <w:sz w:val="24"/>
          <w:szCs w:val="24"/>
        </w:rPr>
        <w:t>Unidad administrativa que coordina y controla el funcionamiento de los archivos de gestión y reúne los documentos transferidos por los mismos una vez finalizado su trámite y cuando su consulta es constante.</w:t>
      </w:r>
    </w:p>
    <w:p w14:paraId="2BFEFC62"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Archivo de Gestión:</w:t>
      </w:r>
      <w:r w:rsidRPr="00B037F7">
        <w:rPr>
          <w:rStyle w:val="markedcontent"/>
          <w:rFonts w:ascii="Tahoma" w:hAnsi="Tahoma" w:cs="Tahoma"/>
          <w:sz w:val="24"/>
          <w:szCs w:val="24"/>
        </w:rPr>
        <w:t xml:space="preserve"> Documentos que hacen parte de la función diaria del área y que por su disposición no debe ser enviado al Archivo Inactivo o Central.</w:t>
      </w:r>
    </w:p>
    <w:p w14:paraId="70250FBE"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lastRenderedPageBreak/>
        <w:t xml:space="preserve">Archivo Electrónico: </w:t>
      </w:r>
      <w:r w:rsidRPr="00B037F7">
        <w:rPr>
          <w:rStyle w:val="markedcontent"/>
          <w:rFonts w:ascii="Tahoma" w:hAnsi="Tahoma" w:cs="Tahoma"/>
          <w:sz w:val="24"/>
          <w:szCs w:val="24"/>
        </w:rPr>
        <w:t>Conjunto de documentos electrónicos producidos y tratados conforme a los principios y procesos archivísticos.</w:t>
      </w:r>
    </w:p>
    <w:p w14:paraId="58D9EB8D"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Fonts w:ascii="Tahoma" w:hAnsi="Tahoma" w:cs="Tahoma"/>
          <w:color w:val="575757"/>
          <w:sz w:val="24"/>
          <w:szCs w:val="24"/>
        </w:rPr>
      </w:pPr>
      <w:r w:rsidRPr="00B037F7">
        <w:rPr>
          <w:rStyle w:val="markedcontent"/>
          <w:rFonts w:ascii="Tahoma" w:hAnsi="Tahoma" w:cs="Tahoma"/>
          <w:b/>
          <w:sz w:val="24"/>
          <w:szCs w:val="24"/>
        </w:rPr>
        <w:t xml:space="preserve">Archivo Histórico: </w:t>
      </w:r>
      <w:r w:rsidRPr="00B037F7">
        <w:rPr>
          <w:rStyle w:val="markedcontent"/>
          <w:rFonts w:ascii="Tahoma" w:hAnsi="Tahoma" w:cs="Tahoma"/>
          <w:sz w:val="24"/>
          <w:szCs w:val="24"/>
        </w:rPr>
        <w:t>Archivo al cual se transfiere del archivo central o del archivo de gestión, la documentación que, por decisión del correspondiente Comité de Archivo, debe conservarse permanentemente, dado el valor que adquiere para la investigación, la ciencia y la cultura. Este tipo de archivo también puede conservar documentos históricos recibidos por donación, depósito voluntario, adquisición o expropiación.</w:t>
      </w:r>
    </w:p>
    <w:p w14:paraId="3B2E600E"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Archivo Total: </w:t>
      </w:r>
      <w:r w:rsidRPr="00B037F7">
        <w:rPr>
          <w:rStyle w:val="markedcontent"/>
          <w:rFonts w:ascii="Tahoma" w:hAnsi="Tahoma" w:cs="Tahoma"/>
          <w:sz w:val="24"/>
          <w:szCs w:val="24"/>
        </w:rPr>
        <w:t>Concepto que hace referencia al proceso integral de los documentos en su ciclo vital.</w:t>
      </w:r>
    </w:p>
    <w:p w14:paraId="7D27DF23"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Ciclo Vital del Documento: </w:t>
      </w:r>
      <w:r w:rsidRPr="00B037F7">
        <w:rPr>
          <w:rStyle w:val="markedcontent"/>
          <w:rFonts w:ascii="Tahoma" w:hAnsi="Tahoma" w:cs="Tahoma"/>
          <w:sz w:val="24"/>
          <w:szCs w:val="24"/>
        </w:rPr>
        <w:t>Etapas sucesivas por las que atraviesan los documentos desde su producción o recepción, hasta su disposición final.</w:t>
      </w:r>
    </w:p>
    <w:p w14:paraId="7DA82AB0"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b/>
          <w:sz w:val="24"/>
          <w:szCs w:val="24"/>
        </w:rPr>
      </w:pPr>
      <w:r w:rsidRPr="00B037F7">
        <w:rPr>
          <w:rStyle w:val="markedcontent"/>
          <w:rFonts w:ascii="Tahoma" w:hAnsi="Tahoma" w:cs="Tahoma"/>
          <w:b/>
          <w:sz w:val="24"/>
          <w:szCs w:val="24"/>
        </w:rPr>
        <w:t>Conservación de Documentos:</w:t>
      </w:r>
      <w:r w:rsidRPr="00B037F7">
        <w:rPr>
          <w:rStyle w:val="markedcontent"/>
          <w:rFonts w:ascii="Tahoma" w:hAnsi="Tahoma" w:cs="Tahoma"/>
          <w:sz w:val="24"/>
          <w:szCs w:val="24"/>
        </w:rPr>
        <w:t xml:space="preserve"> Conjunto de medidas adoptadas preventivas o correctivas adoptadas para asegurar la integridad física y funcional de los documentos de archivo.</w:t>
      </w:r>
    </w:p>
    <w:p w14:paraId="377A8E36"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Conservación Preventiva de Documentos:</w:t>
      </w:r>
      <w:r w:rsidRPr="00B037F7">
        <w:rPr>
          <w:rStyle w:val="markedcontent"/>
          <w:rFonts w:ascii="Tahoma" w:hAnsi="Tahoma" w:cs="Tahoma"/>
          <w:sz w:val="24"/>
          <w:szCs w:val="24"/>
        </w:rPr>
        <w:t xml:space="preserve"> Se refiere al conjunto de políticas, estrategias y medidas de orden técnico y administrativo con un enfoque global e integral, dirigidas a reducir el nivel de riesgo, evitar o minimizar el deterioro de los bienes y, en lo posible, las intervenciones de conservación -restauración. Comprende actividades de gestión para fomentar una protección planificada del patrimonio documental.</w:t>
      </w:r>
    </w:p>
    <w:p w14:paraId="73AE7339"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Consulta de Documentos: </w:t>
      </w:r>
      <w:r w:rsidRPr="00B037F7">
        <w:rPr>
          <w:rStyle w:val="markedcontent"/>
          <w:rFonts w:ascii="Tahoma" w:hAnsi="Tahoma" w:cs="Tahoma"/>
          <w:sz w:val="24"/>
          <w:szCs w:val="24"/>
        </w:rPr>
        <w:t>Acceso a un documento o a un grupo de documentos con el fin de conocer la información que contienen.</w:t>
      </w:r>
    </w:p>
    <w:p w14:paraId="06874819"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Fonts w:ascii="Tahoma" w:hAnsi="Tahoma" w:cs="Tahoma"/>
          <w:color w:val="575757"/>
          <w:sz w:val="24"/>
          <w:szCs w:val="24"/>
        </w:rPr>
      </w:pPr>
      <w:r w:rsidRPr="00B037F7">
        <w:rPr>
          <w:rStyle w:val="markedcontent"/>
          <w:rFonts w:ascii="Tahoma" w:hAnsi="Tahoma" w:cs="Tahoma"/>
          <w:b/>
          <w:sz w:val="24"/>
          <w:szCs w:val="24"/>
        </w:rPr>
        <w:lastRenderedPageBreak/>
        <w:t xml:space="preserve">Custodia de Documentos: </w:t>
      </w:r>
      <w:r w:rsidRPr="00B037F7">
        <w:rPr>
          <w:rStyle w:val="markedcontent"/>
          <w:rFonts w:ascii="Tahoma" w:hAnsi="Tahoma" w:cs="Tahoma"/>
          <w:sz w:val="24"/>
          <w:szCs w:val="24"/>
        </w:rPr>
        <w:t>Guarda o tenencia de documentos por parte de una institución o una persona, que implica responsabilidad jurídica en la administración y conservación de los mismos, cualquiera que sea su titularidad.</w:t>
      </w:r>
    </w:p>
    <w:p w14:paraId="0EE59A43"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b/>
          <w:sz w:val="24"/>
          <w:szCs w:val="24"/>
        </w:rPr>
      </w:pPr>
      <w:r w:rsidRPr="00B037F7">
        <w:rPr>
          <w:rStyle w:val="markedcontent"/>
          <w:rFonts w:ascii="Tahoma" w:hAnsi="Tahoma" w:cs="Tahoma"/>
          <w:b/>
          <w:sz w:val="24"/>
          <w:szCs w:val="24"/>
        </w:rPr>
        <w:t xml:space="preserve">Digitalización: </w:t>
      </w:r>
      <w:r w:rsidRPr="00B037F7">
        <w:rPr>
          <w:rStyle w:val="markedcontent"/>
          <w:rFonts w:ascii="Tahoma" w:hAnsi="Tahoma" w:cs="Tahoma"/>
          <w:sz w:val="24"/>
          <w:szCs w:val="24"/>
        </w:rPr>
        <w:t>Técnica que permite la reproducción de información que se encuentra guardada de manera analógica (Soportes: papel, video, casettes, cinta, película, microfilm y otros) en una que sólo puede leerse o interpretarse por computador.</w:t>
      </w:r>
    </w:p>
    <w:p w14:paraId="195BB224"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b/>
          <w:sz w:val="24"/>
          <w:szCs w:val="24"/>
        </w:rPr>
      </w:pPr>
      <w:r w:rsidRPr="00B037F7">
        <w:rPr>
          <w:rStyle w:val="markedcontent"/>
          <w:rFonts w:ascii="Tahoma" w:hAnsi="Tahoma" w:cs="Tahoma"/>
          <w:b/>
          <w:sz w:val="24"/>
          <w:szCs w:val="24"/>
        </w:rPr>
        <w:t>Disposición final de documentos:</w:t>
      </w:r>
      <w:r w:rsidRPr="00B037F7">
        <w:rPr>
          <w:rStyle w:val="markedcontent"/>
          <w:rFonts w:ascii="Tahoma" w:hAnsi="Tahoma" w:cs="Tahoma"/>
          <w:sz w:val="24"/>
          <w:szCs w:val="24"/>
        </w:rPr>
        <w:t xml:space="preserve"> Decisión resultante de la valoración hecha en cualquier etapa del ciclo vital de los documentos, registrada en las tablas de retención y/o tablas de valoración documental, con miras a su conservación total, eliminación, selección y/o reproducción.</w:t>
      </w:r>
    </w:p>
    <w:p w14:paraId="6DCDD296"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Documento:</w:t>
      </w:r>
      <w:r w:rsidRPr="00B037F7">
        <w:rPr>
          <w:rStyle w:val="markedcontent"/>
          <w:rFonts w:ascii="Tahoma" w:hAnsi="Tahoma" w:cs="Tahoma"/>
          <w:sz w:val="24"/>
          <w:szCs w:val="24"/>
        </w:rPr>
        <w:t xml:space="preserve"> Información registrada, cualquiera sea su forma o el medio utilizado.</w:t>
      </w:r>
    </w:p>
    <w:p w14:paraId="0C14B796"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Documento de Archivo: </w:t>
      </w:r>
      <w:r w:rsidRPr="00B037F7">
        <w:rPr>
          <w:rStyle w:val="markedcontent"/>
          <w:rFonts w:ascii="Tahoma" w:hAnsi="Tahoma" w:cs="Tahoma"/>
          <w:sz w:val="24"/>
          <w:szCs w:val="24"/>
        </w:rPr>
        <w:t>Registro de información producida o recibida por una entidad pública o privada en razón de sus actividades o funciones.</w:t>
      </w:r>
    </w:p>
    <w:p w14:paraId="11D3A8F9"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Documento Electrónico de Archivo: </w:t>
      </w:r>
      <w:r w:rsidRPr="00B037F7">
        <w:rPr>
          <w:rStyle w:val="markedcontent"/>
          <w:rFonts w:ascii="Tahoma" w:hAnsi="Tahoma" w:cs="Tahoma"/>
          <w:sz w:val="24"/>
          <w:szCs w:val="24"/>
        </w:rPr>
        <w:t>Registro de la información generada, recibida, almacenada, y comunicada por medios electrónicos, que permanece en estos medios durante su ciclo vital; es producida por una persona o entidad en razón de sus actividades y debe ser tratada conforme a los principios y procesos archivísticos.</w:t>
      </w:r>
    </w:p>
    <w:p w14:paraId="000603C5"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Fonts w:ascii="Tahoma" w:hAnsi="Tahoma" w:cs="Tahoma"/>
          <w:b/>
          <w:color w:val="575757"/>
          <w:sz w:val="24"/>
          <w:szCs w:val="24"/>
        </w:rPr>
      </w:pPr>
      <w:r w:rsidRPr="00B037F7">
        <w:rPr>
          <w:rStyle w:val="markedcontent"/>
          <w:rFonts w:ascii="Tahoma" w:hAnsi="Tahoma" w:cs="Tahoma"/>
          <w:b/>
          <w:sz w:val="24"/>
          <w:szCs w:val="24"/>
        </w:rPr>
        <w:t xml:space="preserve">Eliminación Documental: </w:t>
      </w:r>
      <w:r w:rsidRPr="00B037F7">
        <w:rPr>
          <w:rStyle w:val="markedcontent"/>
          <w:rFonts w:ascii="Tahoma" w:hAnsi="Tahoma" w:cs="Tahoma"/>
          <w:sz w:val="24"/>
          <w:szCs w:val="24"/>
        </w:rPr>
        <w:t>Actividad resultante de la disposición final señalada en las tablas de retención o de valoración documental para aquellos documentos que han perdido sus valores primarios y secundarios, sin perjuicio de conservar su información en otros soportes.</w:t>
      </w:r>
    </w:p>
    <w:p w14:paraId="01CB4F99"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b/>
          <w:sz w:val="24"/>
          <w:szCs w:val="24"/>
        </w:rPr>
      </w:pPr>
      <w:r w:rsidRPr="00B037F7">
        <w:rPr>
          <w:rStyle w:val="markedcontent"/>
          <w:rFonts w:ascii="Tahoma" w:hAnsi="Tahoma" w:cs="Tahoma"/>
          <w:b/>
          <w:sz w:val="24"/>
          <w:szCs w:val="24"/>
        </w:rPr>
        <w:lastRenderedPageBreak/>
        <w:t xml:space="preserve">Fondo Documental: </w:t>
      </w:r>
      <w:r w:rsidRPr="00B037F7">
        <w:rPr>
          <w:rStyle w:val="markedcontent"/>
          <w:rFonts w:ascii="Tahoma" w:hAnsi="Tahoma" w:cs="Tahoma"/>
          <w:sz w:val="24"/>
          <w:szCs w:val="24"/>
        </w:rPr>
        <w:t>Conjunto de documentos producidos por una persona natural o jurídica en desarrollo de sus funciones o actividades.</w:t>
      </w:r>
    </w:p>
    <w:p w14:paraId="6FB94871" w14:textId="77777777" w:rsidR="00A90C36" w:rsidRPr="00B037F7" w:rsidRDefault="00A90C36" w:rsidP="00A90C36">
      <w:pPr>
        <w:pStyle w:val="Prrafodelista"/>
        <w:numPr>
          <w:ilvl w:val="0"/>
          <w:numId w:val="26"/>
        </w:numPr>
        <w:autoSpaceDE w:val="0"/>
        <w:autoSpaceDN w:val="0"/>
        <w:adjustRightInd w:val="0"/>
        <w:spacing w:after="0" w:line="360" w:lineRule="auto"/>
        <w:ind w:left="360"/>
        <w:rPr>
          <w:rStyle w:val="markedcontent"/>
          <w:rFonts w:ascii="Tahoma" w:hAnsi="Tahoma" w:cs="Tahoma"/>
          <w:sz w:val="24"/>
          <w:szCs w:val="24"/>
        </w:rPr>
      </w:pPr>
      <w:r w:rsidRPr="00B037F7">
        <w:rPr>
          <w:rStyle w:val="markedcontent"/>
          <w:rFonts w:ascii="Tahoma" w:hAnsi="Tahoma" w:cs="Tahoma"/>
          <w:b/>
          <w:sz w:val="24"/>
          <w:szCs w:val="24"/>
        </w:rPr>
        <w:t xml:space="preserve">Gestión Documental: </w:t>
      </w:r>
      <w:r w:rsidRPr="00B037F7">
        <w:rPr>
          <w:rStyle w:val="markedcontent"/>
          <w:rFonts w:ascii="Tahoma" w:hAnsi="Tahoma" w:cs="Tahoma"/>
          <w:sz w:val="24"/>
          <w:szCs w:val="24"/>
        </w:rPr>
        <w:t>Conjunto de actividades administrativas y técnicas, tendientes a la planificación, manejo y organización de la documentación producida y recibida por las entidades, desde su origen hasta su destino final con el objeto de facilitar su utilización y conservación.</w:t>
      </w:r>
    </w:p>
    <w:p w14:paraId="321D16D3"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Organización de Archivos: </w:t>
      </w:r>
      <w:r w:rsidRPr="00B037F7">
        <w:rPr>
          <w:rStyle w:val="markedcontent"/>
          <w:rFonts w:ascii="Tahoma" w:hAnsi="Tahoma" w:cs="Tahoma"/>
          <w:sz w:val="24"/>
          <w:szCs w:val="24"/>
        </w:rPr>
        <w:t>Conjunto de operaciones técnicas y administrativas cuya finalidad es la agrupación documental relacionada en forma jerárquica con criterios orgánicos o funcionales.</w:t>
      </w:r>
    </w:p>
    <w:p w14:paraId="21016329"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b/>
          <w:sz w:val="24"/>
          <w:szCs w:val="24"/>
        </w:rPr>
      </w:pPr>
      <w:r w:rsidRPr="00B037F7">
        <w:rPr>
          <w:rStyle w:val="markedcontent"/>
          <w:rFonts w:ascii="Tahoma" w:hAnsi="Tahoma" w:cs="Tahoma"/>
          <w:b/>
          <w:sz w:val="24"/>
          <w:szCs w:val="24"/>
        </w:rPr>
        <w:t xml:space="preserve">Organización Documental: </w:t>
      </w:r>
      <w:r w:rsidRPr="00B037F7">
        <w:rPr>
          <w:rStyle w:val="markedcontent"/>
          <w:rFonts w:ascii="Tahoma" w:hAnsi="Tahoma" w:cs="Tahoma"/>
          <w:sz w:val="24"/>
          <w:szCs w:val="24"/>
        </w:rPr>
        <w:t>Proceso archivístico orientado a la clasificación, la ordenación y la descripción de los documentos de una institución.</w:t>
      </w:r>
    </w:p>
    <w:p w14:paraId="4D45F2D0"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b/>
          <w:sz w:val="24"/>
          <w:szCs w:val="24"/>
        </w:rPr>
      </w:pPr>
      <w:r w:rsidRPr="00B037F7">
        <w:rPr>
          <w:rStyle w:val="markedcontent"/>
          <w:rFonts w:ascii="Tahoma" w:hAnsi="Tahoma" w:cs="Tahoma"/>
          <w:b/>
          <w:sz w:val="24"/>
          <w:szCs w:val="24"/>
        </w:rPr>
        <w:t xml:space="preserve">Patrimonio Documental: </w:t>
      </w:r>
      <w:r w:rsidRPr="00B037F7">
        <w:rPr>
          <w:rStyle w:val="markedcontent"/>
          <w:rFonts w:ascii="Tahoma" w:hAnsi="Tahoma" w:cs="Tahoma"/>
          <w:sz w:val="24"/>
          <w:szCs w:val="24"/>
        </w:rPr>
        <w:t>Conjunto de documentos conservados por su valor histórico y cultural.</w:t>
      </w:r>
    </w:p>
    <w:p w14:paraId="0F80E404"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Producción Documental</w:t>
      </w:r>
      <w:r w:rsidRPr="00B037F7">
        <w:rPr>
          <w:rStyle w:val="markedcontent"/>
          <w:rFonts w:ascii="Tahoma" w:hAnsi="Tahoma" w:cs="Tahoma"/>
          <w:sz w:val="24"/>
          <w:szCs w:val="24"/>
        </w:rPr>
        <w:t>: Generación de documentos hecha por las instituciones en cumplimiento de sus funciones.</w:t>
      </w:r>
    </w:p>
    <w:p w14:paraId="5EB827BF"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Programa de Gestión Documental (PGD): </w:t>
      </w:r>
      <w:r w:rsidRPr="00B037F7">
        <w:rPr>
          <w:rStyle w:val="markedcontent"/>
          <w:rFonts w:ascii="Tahoma" w:hAnsi="Tahoma" w:cs="Tahoma"/>
          <w:sz w:val="24"/>
          <w:szCs w:val="24"/>
        </w:rPr>
        <w:t>Conjunto de actividades administrativas y técnicas tendientes a la planificación, manejo y organización de la documentación producida y recibida por las Empresas, desde su origen hasta su destino final, con el objeto de facilitar su utilización y conservación.</w:t>
      </w:r>
    </w:p>
    <w:p w14:paraId="59D9B05D"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Sistema Integrado de Conservación (SIC): </w:t>
      </w:r>
      <w:r w:rsidRPr="00B037F7">
        <w:rPr>
          <w:rStyle w:val="markedcontent"/>
          <w:rFonts w:ascii="Tahoma" w:hAnsi="Tahoma" w:cs="Tahoma"/>
          <w:sz w:val="24"/>
          <w:szCs w:val="24"/>
        </w:rPr>
        <w:t>Conjunto de estrategias y procesos de conservación que aseguran el mantenimiento adecuado de los documentos, garantizando su integridad física y funcional en cualquier etapa del ciclo vital.</w:t>
      </w:r>
    </w:p>
    <w:p w14:paraId="0F4FC1CB" w14:textId="77777777" w:rsidR="00A90C36" w:rsidRPr="00B037F7" w:rsidRDefault="00A90C36" w:rsidP="00A90C36">
      <w:pPr>
        <w:pStyle w:val="Prrafodelista"/>
        <w:numPr>
          <w:ilvl w:val="0"/>
          <w:numId w:val="26"/>
        </w:numPr>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lastRenderedPageBreak/>
        <w:t>Tabla de retención documental (TRD):</w:t>
      </w:r>
      <w:r w:rsidRPr="00B037F7">
        <w:rPr>
          <w:rStyle w:val="markedcontent"/>
          <w:rFonts w:ascii="Tahoma" w:hAnsi="Tahoma" w:cs="Tahoma"/>
          <w:sz w:val="24"/>
          <w:szCs w:val="24"/>
        </w:rPr>
        <w:t xml:space="preserve"> Listado de series con sus correspondientes tipos documentales, a las cuales se asigna el tiempo de permanencia en cada etapa del ciclo vital de los documentos.</w:t>
      </w:r>
    </w:p>
    <w:p w14:paraId="01CA52B4"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Tabla de Valoración Documental (TVD): </w:t>
      </w:r>
      <w:r w:rsidRPr="00B037F7">
        <w:rPr>
          <w:rStyle w:val="markedcontent"/>
          <w:rFonts w:ascii="Tahoma" w:hAnsi="Tahoma" w:cs="Tahoma"/>
          <w:sz w:val="24"/>
          <w:szCs w:val="24"/>
        </w:rPr>
        <w:t>Listado de asuntos o series documentales a los cuales se asigna un tiempo de permanencia en el archivo central, así como una disposición final.</w:t>
      </w:r>
    </w:p>
    <w:p w14:paraId="49D38195"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Trámite de Documentos: </w:t>
      </w:r>
      <w:r w:rsidRPr="00B037F7">
        <w:rPr>
          <w:rStyle w:val="markedcontent"/>
          <w:rFonts w:ascii="Tahoma" w:hAnsi="Tahoma" w:cs="Tahoma"/>
          <w:sz w:val="24"/>
          <w:szCs w:val="24"/>
        </w:rPr>
        <w:t>Recorrido del documento desde su producción o recepción, hasta el cumplimiento de su función administrativa.</w:t>
      </w:r>
    </w:p>
    <w:p w14:paraId="521F01D4"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Fonts w:ascii="Tahoma" w:hAnsi="Tahoma" w:cs="Tahoma"/>
          <w:color w:val="575757"/>
          <w:sz w:val="24"/>
          <w:szCs w:val="24"/>
        </w:rPr>
      </w:pPr>
      <w:r w:rsidRPr="00B037F7">
        <w:rPr>
          <w:rStyle w:val="markedcontent"/>
          <w:rFonts w:ascii="Tahoma" w:hAnsi="Tahoma" w:cs="Tahoma"/>
          <w:b/>
          <w:sz w:val="24"/>
          <w:szCs w:val="24"/>
        </w:rPr>
        <w:t xml:space="preserve">Transferencia Documental: </w:t>
      </w:r>
      <w:r w:rsidRPr="00B037F7">
        <w:rPr>
          <w:rStyle w:val="markedcontent"/>
          <w:rFonts w:ascii="Tahoma" w:hAnsi="Tahoma" w:cs="Tahoma"/>
          <w:sz w:val="24"/>
          <w:szCs w:val="24"/>
        </w:rPr>
        <w:t>Listado de asuntos o series documentales a los cuales se asigna un tiempo de permanencia en el archivo central, así como una disposición final</w:t>
      </w:r>
      <w:r w:rsidRPr="00B037F7">
        <w:rPr>
          <w:rFonts w:ascii="Tahoma" w:hAnsi="Tahoma" w:cs="Tahoma"/>
          <w:color w:val="575757"/>
          <w:sz w:val="24"/>
          <w:szCs w:val="24"/>
        </w:rPr>
        <w:t>.</w:t>
      </w:r>
    </w:p>
    <w:p w14:paraId="0A96048D" w14:textId="77777777" w:rsidR="00A90C36" w:rsidRPr="00B037F7" w:rsidRDefault="00A90C36" w:rsidP="00A90C36">
      <w:pPr>
        <w:pStyle w:val="Prrafodelista"/>
        <w:numPr>
          <w:ilvl w:val="0"/>
          <w:numId w:val="26"/>
        </w:numPr>
        <w:autoSpaceDE w:val="0"/>
        <w:autoSpaceDN w:val="0"/>
        <w:adjustRightInd w:val="0"/>
        <w:spacing w:after="0" w:line="360" w:lineRule="auto"/>
        <w:ind w:left="360"/>
        <w:jc w:val="both"/>
        <w:rPr>
          <w:rStyle w:val="markedcontent"/>
          <w:rFonts w:ascii="Tahoma" w:hAnsi="Tahoma" w:cs="Tahoma"/>
          <w:sz w:val="24"/>
          <w:szCs w:val="24"/>
        </w:rPr>
      </w:pPr>
      <w:r w:rsidRPr="00B037F7">
        <w:rPr>
          <w:rStyle w:val="markedcontent"/>
          <w:rFonts w:ascii="Tahoma" w:hAnsi="Tahoma" w:cs="Tahoma"/>
          <w:b/>
          <w:sz w:val="24"/>
          <w:szCs w:val="24"/>
        </w:rPr>
        <w:t xml:space="preserve">Valoración Documental: </w:t>
      </w:r>
      <w:r w:rsidRPr="00B037F7">
        <w:rPr>
          <w:rStyle w:val="markedcontent"/>
          <w:rFonts w:ascii="Tahoma" w:hAnsi="Tahoma" w:cs="Tahoma"/>
          <w:sz w:val="24"/>
          <w:szCs w:val="24"/>
        </w:rPr>
        <w:t>Labor intelectual por la cual se determinan los valores primarios y secundarios de los documentos con el fin de establecer su permanencia en las diferentes fases del ciclo vital.</w:t>
      </w:r>
    </w:p>
    <w:p w14:paraId="3839433B" w14:textId="77777777" w:rsidR="005F34EA" w:rsidRPr="00B037F7" w:rsidRDefault="005F34EA" w:rsidP="00FF3425">
      <w:pPr>
        <w:spacing w:after="160" w:line="360" w:lineRule="auto"/>
        <w:ind w:left="426"/>
        <w:jc w:val="both"/>
        <w:rPr>
          <w:rFonts w:ascii="Tahoma" w:hAnsi="Tahoma" w:cs="Tahoma"/>
          <w:b/>
          <w:bCs/>
          <w:sz w:val="24"/>
          <w:szCs w:val="24"/>
        </w:rPr>
      </w:pPr>
    </w:p>
    <w:p w14:paraId="07D4F625" w14:textId="77777777" w:rsidR="00A90C36" w:rsidRPr="00B037F7" w:rsidRDefault="00A90C36" w:rsidP="00FF3425">
      <w:pPr>
        <w:spacing w:after="160" w:line="360" w:lineRule="auto"/>
        <w:ind w:left="426"/>
        <w:jc w:val="both"/>
        <w:rPr>
          <w:rFonts w:ascii="Tahoma" w:hAnsi="Tahoma" w:cs="Tahoma"/>
          <w:b/>
          <w:bCs/>
          <w:sz w:val="24"/>
          <w:szCs w:val="24"/>
        </w:rPr>
      </w:pPr>
    </w:p>
    <w:p w14:paraId="0FF39667" w14:textId="77777777" w:rsidR="00A90C36" w:rsidRPr="00B037F7" w:rsidRDefault="00A90C36" w:rsidP="00FF3425">
      <w:pPr>
        <w:spacing w:after="160" w:line="360" w:lineRule="auto"/>
        <w:ind w:left="426"/>
        <w:jc w:val="both"/>
        <w:rPr>
          <w:rFonts w:ascii="Tahoma" w:hAnsi="Tahoma" w:cs="Tahoma"/>
          <w:b/>
          <w:bCs/>
          <w:sz w:val="24"/>
          <w:szCs w:val="24"/>
        </w:rPr>
      </w:pPr>
    </w:p>
    <w:p w14:paraId="0EDDA04C" w14:textId="77777777" w:rsidR="00A90C36" w:rsidRPr="00B037F7" w:rsidRDefault="00A90C36" w:rsidP="00FF3425">
      <w:pPr>
        <w:spacing w:after="160" w:line="360" w:lineRule="auto"/>
        <w:ind w:left="426"/>
        <w:jc w:val="both"/>
        <w:rPr>
          <w:rFonts w:ascii="Tahoma" w:hAnsi="Tahoma" w:cs="Tahoma"/>
          <w:b/>
          <w:bCs/>
          <w:sz w:val="24"/>
          <w:szCs w:val="24"/>
        </w:rPr>
      </w:pPr>
    </w:p>
    <w:p w14:paraId="675B43E5" w14:textId="77777777" w:rsidR="00A90C36" w:rsidRPr="00B037F7" w:rsidRDefault="00A90C36" w:rsidP="00FF3425">
      <w:pPr>
        <w:spacing w:after="160" w:line="360" w:lineRule="auto"/>
        <w:ind w:left="426"/>
        <w:jc w:val="both"/>
        <w:rPr>
          <w:rFonts w:ascii="Tahoma" w:hAnsi="Tahoma" w:cs="Tahoma"/>
          <w:b/>
          <w:bCs/>
          <w:sz w:val="24"/>
          <w:szCs w:val="24"/>
        </w:rPr>
      </w:pPr>
    </w:p>
    <w:p w14:paraId="3348A28D" w14:textId="77777777" w:rsidR="00612C70" w:rsidRDefault="00612C70" w:rsidP="00FF3425">
      <w:pPr>
        <w:spacing w:after="160" w:line="360" w:lineRule="auto"/>
        <w:ind w:left="426"/>
        <w:jc w:val="both"/>
        <w:rPr>
          <w:rFonts w:ascii="Tahoma" w:hAnsi="Tahoma" w:cs="Tahoma"/>
          <w:b/>
          <w:bCs/>
          <w:sz w:val="24"/>
          <w:szCs w:val="24"/>
        </w:rPr>
      </w:pPr>
    </w:p>
    <w:p w14:paraId="56A0DFB6" w14:textId="77777777" w:rsidR="001F4F79" w:rsidRPr="00B037F7" w:rsidRDefault="001F4F79" w:rsidP="00DF0F46">
      <w:pPr>
        <w:spacing w:after="160" w:line="360" w:lineRule="auto"/>
        <w:jc w:val="both"/>
        <w:rPr>
          <w:rFonts w:ascii="Tahoma" w:hAnsi="Tahoma" w:cs="Tahoma"/>
          <w:b/>
          <w:bCs/>
          <w:sz w:val="24"/>
          <w:szCs w:val="24"/>
        </w:rPr>
      </w:pPr>
    </w:p>
    <w:p w14:paraId="74B338FB" w14:textId="77777777" w:rsidR="00612C70" w:rsidRPr="00B037F7" w:rsidRDefault="00612C70" w:rsidP="00FF3425">
      <w:pPr>
        <w:spacing w:after="160" w:line="360" w:lineRule="auto"/>
        <w:ind w:left="426"/>
        <w:jc w:val="both"/>
        <w:rPr>
          <w:rFonts w:ascii="Tahoma" w:hAnsi="Tahoma" w:cs="Tahoma"/>
          <w:b/>
          <w:bCs/>
          <w:sz w:val="24"/>
          <w:szCs w:val="24"/>
        </w:rPr>
      </w:pPr>
    </w:p>
    <w:p w14:paraId="1A9DFCA8" w14:textId="77777777" w:rsidR="009E2EC3" w:rsidRPr="00B037F7" w:rsidRDefault="005E7FE1" w:rsidP="00DF0F46">
      <w:pPr>
        <w:pStyle w:val="Prrafodelista"/>
        <w:numPr>
          <w:ilvl w:val="0"/>
          <w:numId w:val="2"/>
        </w:numPr>
        <w:spacing w:after="160" w:line="360" w:lineRule="auto"/>
        <w:rPr>
          <w:rFonts w:ascii="Tahoma" w:hAnsi="Tahoma" w:cs="Tahoma"/>
          <w:b/>
          <w:bCs/>
          <w:sz w:val="24"/>
          <w:szCs w:val="24"/>
        </w:rPr>
      </w:pPr>
      <w:r w:rsidRPr="00B037F7">
        <w:rPr>
          <w:rFonts w:ascii="Tahoma" w:hAnsi="Tahoma" w:cs="Tahoma"/>
          <w:b/>
          <w:bCs/>
          <w:sz w:val="24"/>
          <w:szCs w:val="24"/>
        </w:rPr>
        <w:lastRenderedPageBreak/>
        <w:t>CONDICIONES GENERALES</w:t>
      </w:r>
    </w:p>
    <w:p w14:paraId="39F27C18" w14:textId="77777777" w:rsidR="0044385F" w:rsidRPr="00B037F7" w:rsidRDefault="0044385F" w:rsidP="0044385F">
      <w:pPr>
        <w:pStyle w:val="Prrafodelista"/>
        <w:spacing w:after="160" w:line="360" w:lineRule="auto"/>
        <w:ind w:left="786"/>
        <w:rPr>
          <w:rFonts w:ascii="Tahoma" w:hAnsi="Tahoma" w:cs="Tahoma"/>
          <w:b/>
          <w:bCs/>
          <w:sz w:val="24"/>
          <w:szCs w:val="24"/>
        </w:rPr>
      </w:pPr>
    </w:p>
    <w:p w14:paraId="268F6E00" w14:textId="77777777" w:rsidR="005E7FE1" w:rsidRPr="00B037F7" w:rsidRDefault="0044385F" w:rsidP="0044385F">
      <w:pPr>
        <w:pStyle w:val="Prrafodelista"/>
        <w:numPr>
          <w:ilvl w:val="1"/>
          <w:numId w:val="2"/>
        </w:numPr>
        <w:spacing w:line="360" w:lineRule="auto"/>
        <w:jc w:val="both"/>
        <w:rPr>
          <w:rFonts w:ascii="Tahoma" w:hAnsi="Tahoma" w:cs="Tahoma"/>
          <w:b/>
          <w:bCs/>
          <w:sz w:val="24"/>
          <w:szCs w:val="24"/>
        </w:rPr>
      </w:pPr>
      <w:r w:rsidRPr="00B037F7">
        <w:rPr>
          <w:rFonts w:ascii="Tahoma" w:hAnsi="Tahoma" w:cs="Tahoma"/>
          <w:b/>
          <w:bCs/>
          <w:sz w:val="24"/>
          <w:szCs w:val="24"/>
        </w:rPr>
        <w:t xml:space="preserve"> Organización Archivos de Gestión</w:t>
      </w:r>
      <w:r w:rsidRPr="00B037F7">
        <w:rPr>
          <w:rFonts w:ascii="Tahoma" w:hAnsi="Tahoma" w:cs="Tahoma"/>
          <w:b/>
          <w:bCs/>
          <w:sz w:val="24"/>
          <w:szCs w:val="24"/>
        </w:rPr>
        <w:tab/>
      </w:r>
    </w:p>
    <w:p w14:paraId="677BC233"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 xml:space="preserve">La organización y ordenación de los expedientes en los archivos de gestión es responsabilidad de los servidores y empleados públicos así como los contratistas que presten servicios en </w:t>
      </w:r>
      <w:r w:rsidRPr="00B037F7">
        <w:rPr>
          <w:rFonts w:ascii="Tahoma" w:hAnsi="Tahoma" w:cs="Tahoma"/>
          <w:b/>
          <w:i/>
          <w:sz w:val="24"/>
          <w:szCs w:val="24"/>
        </w:rPr>
        <w:t>EMPRESAS PÚBLICAS DEL QUINDIO EPQ S.A E.S.P</w:t>
      </w:r>
      <w:r w:rsidRPr="00B037F7">
        <w:rPr>
          <w:rFonts w:ascii="Tahoma" w:hAnsi="Tahoma" w:cs="Tahoma"/>
          <w:sz w:val="24"/>
          <w:szCs w:val="24"/>
        </w:rPr>
        <w:t xml:space="preserve">., aplicando las normas que en esta materia establezca el </w:t>
      </w:r>
      <w:r w:rsidRPr="00B037F7">
        <w:rPr>
          <w:rFonts w:ascii="Tahoma" w:hAnsi="Tahoma" w:cs="Tahoma"/>
          <w:b/>
          <w:sz w:val="24"/>
          <w:szCs w:val="24"/>
        </w:rPr>
        <w:t>Archivo General de la Nación “Jorge Palacios Preciado”.</w:t>
      </w:r>
      <w:r w:rsidRPr="00B037F7">
        <w:rPr>
          <w:rFonts w:ascii="Tahoma" w:hAnsi="Tahoma" w:cs="Tahoma"/>
          <w:sz w:val="24"/>
          <w:szCs w:val="24"/>
        </w:rPr>
        <w:t xml:space="preserve"> </w:t>
      </w:r>
    </w:p>
    <w:p w14:paraId="11D61451"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 xml:space="preserve">Para la organización y ordenación de los expedientes en los archivos de gestión se precisa el diligenciamiento de la Hoja de Control de Documentos, como instrumento de registro y control obligatorio. </w:t>
      </w:r>
    </w:p>
    <w:p w14:paraId="5CD62F95" w14:textId="77777777" w:rsidR="0044385F" w:rsidRPr="00B037F7" w:rsidRDefault="0044385F" w:rsidP="0044385F">
      <w:pPr>
        <w:pStyle w:val="Prrafodelista"/>
        <w:numPr>
          <w:ilvl w:val="1"/>
          <w:numId w:val="2"/>
        </w:numPr>
        <w:spacing w:before="240" w:after="240" w:line="360" w:lineRule="auto"/>
        <w:jc w:val="both"/>
        <w:outlineLvl w:val="1"/>
        <w:rPr>
          <w:rFonts w:ascii="Tahoma" w:hAnsi="Tahoma" w:cs="Tahoma"/>
          <w:b/>
          <w:sz w:val="24"/>
          <w:szCs w:val="24"/>
        </w:rPr>
      </w:pPr>
      <w:bookmarkStart w:id="0" w:name="_Toc142423183"/>
      <w:r w:rsidRPr="00B037F7">
        <w:rPr>
          <w:rFonts w:ascii="Tahoma" w:hAnsi="Tahoma" w:cs="Tahoma"/>
          <w:b/>
          <w:sz w:val="24"/>
          <w:szCs w:val="24"/>
        </w:rPr>
        <w:t>Capacitación en gestión documental</w:t>
      </w:r>
      <w:bookmarkEnd w:id="0"/>
      <w:r w:rsidRPr="00B037F7">
        <w:rPr>
          <w:rFonts w:ascii="Tahoma" w:hAnsi="Tahoma" w:cs="Tahoma"/>
          <w:b/>
          <w:sz w:val="24"/>
          <w:szCs w:val="24"/>
        </w:rPr>
        <w:t xml:space="preserve"> </w:t>
      </w:r>
    </w:p>
    <w:p w14:paraId="1FEC3DE6"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Todos los empleados, funcionarios y contratistas de la institución deben acreditar o ingresar a capacitación (cursos, talleres, congresos, simposios, diplomados) en temas de gestión documental que permitan garantizar la adecuada administración y Archivo de Gestión Documental, con el objetivo de garantizar la eficacia, eficiencia y efectividad en el apoyo de los procesos de la entidad, teniendo una cultura de las buenas prácticas para el manejo de los documentos y la información que se evidencie en su administración, garantizando el respeto de los derechos de información y acceso a los documentos por parte de los ciudadanos.</w:t>
      </w:r>
    </w:p>
    <w:p w14:paraId="7A0BB212" w14:textId="3EE3BF48" w:rsidR="001F4F79"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 xml:space="preserve">Estas capacitaciones serán articuladas con el Plan Anual de Capacitaciones que establezca la institución. </w:t>
      </w:r>
    </w:p>
    <w:p w14:paraId="2DBB6822" w14:textId="77777777" w:rsidR="0044385F" w:rsidRPr="00B037F7" w:rsidRDefault="0044385F" w:rsidP="0044385F">
      <w:pPr>
        <w:pStyle w:val="Prrafodelista"/>
        <w:numPr>
          <w:ilvl w:val="1"/>
          <w:numId w:val="2"/>
        </w:numPr>
        <w:spacing w:before="240" w:after="240" w:line="360" w:lineRule="auto"/>
        <w:contextualSpacing w:val="0"/>
        <w:jc w:val="both"/>
        <w:outlineLvl w:val="1"/>
        <w:rPr>
          <w:rFonts w:ascii="Tahoma" w:hAnsi="Tahoma" w:cs="Tahoma"/>
          <w:b/>
          <w:sz w:val="24"/>
          <w:szCs w:val="24"/>
        </w:rPr>
      </w:pPr>
      <w:bookmarkStart w:id="1" w:name="_Toc142423184"/>
      <w:r w:rsidRPr="00B037F7">
        <w:rPr>
          <w:rFonts w:ascii="Tahoma" w:hAnsi="Tahoma" w:cs="Tahoma"/>
          <w:b/>
          <w:sz w:val="24"/>
          <w:szCs w:val="24"/>
        </w:rPr>
        <w:lastRenderedPageBreak/>
        <w:t>Instrumentos Archivísticos</w:t>
      </w:r>
      <w:bookmarkEnd w:id="1"/>
      <w:r w:rsidRPr="00B037F7">
        <w:rPr>
          <w:rFonts w:ascii="Tahoma" w:hAnsi="Tahoma" w:cs="Tahoma"/>
          <w:b/>
          <w:sz w:val="24"/>
          <w:szCs w:val="24"/>
        </w:rPr>
        <w:t xml:space="preserve"> </w:t>
      </w:r>
    </w:p>
    <w:p w14:paraId="0996A31E"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b/>
          <w:i/>
          <w:sz w:val="24"/>
          <w:szCs w:val="24"/>
        </w:rPr>
        <w:t>EMPRESAS PÚBLICAS DEL QUINDIO EPQ S.A E.S.P</w:t>
      </w:r>
      <w:r w:rsidRPr="00B037F7">
        <w:rPr>
          <w:rFonts w:ascii="Tahoma" w:hAnsi="Tahoma" w:cs="Tahoma"/>
          <w:sz w:val="24"/>
          <w:szCs w:val="24"/>
        </w:rPr>
        <w:t>. elaborará, implementará y actualizará los Instrumentos Archivísticos necesarios para la gestión documental, a saber son:</w:t>
      </w:r>
    </w:p>
    <w:p w14:paraId="72FC634D"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Cuadro de Clasificación Documental</w:t>
      </w:r>
    </w:p>
    <w:p w14:paraId="577A8405"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Diagnóstico Integral de Archivo</w:t>
      </w:r>
    </w:p>
    <w:p w14:paraId="1227A82F"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Inventario Documental</w:t>
      </w:r>
    </w:p>
    <w:p w14:paraId="166BC9ED"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Instructivo para Archivo de Gestión Central e Histórico y Transferencias Documentales</w:t>
      </w:r>
    </w:p>
    <w:p w14:paraId="402E3B13"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Instructivo para Expurgo y Eliminación Documental</w:t>
      </w:r>
    </w:p>
    <w:p w14:paraId="489D27A9"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 xml:space="preserve">Plan Institucional de Archivos – PINAR </w:t>
      </w:r>
    </w:p>
    <w:p w14:paraId="50075D7A"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Programa de Gestión Documental</w:t>
      </w:r>
    </w:p>
    <w:p w14:paraId="4599FE6A"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 xml:space="preserve">Sistema Integrado de Conservación </w:t>
      </w:r>
    </w:p>
    <w:p w14:paraId="3FC21454"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Tabla de Retención Documental</w:t>
      </w:r>
    </w:p>
    <w:p w14:paraId="1392C2F8"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Tabla de Valoración Documental</w:t>
      </w:r>
    </w:p>
    <w:p w14:paraId="004E5F84" w14:textId="77777777" w:rsidR="0044385F" w:rsidRPr="00B037F7" w:rsidRDefault="0044385F" w:rsidP="0044385F">
      <w:pPr>
        <w:pStyle w:val="Prrafodelista"/>
        <w:numPr>
          <w:ilvl w:val="0"/>
          <w:numId w:val="28"/>
        </w:numPr>
        <w:spacing w:after="0" w:line="360" w:lineRule="auto"/>
        <w:ind w:left="714" w:hanging="357"/>
        <w:contextualSpacing w:val="0"/>
        <w:jc w:val="both"/>
        <w:rPr>
          <w:rFonts w:ascii="Tahoma" w:hAnsi="Tahoma" w:cs="Tahoma"/>
          <w:sz w:val="24"/>
          <w:szCs w:val="24"/>
        </w:rPr>
      </w:pPr>
      <w:r w:rsidRPr="00B037F7">
        <w:rPr>
          <w:rFonts w:ascii="Tahoma" w:hAnsi="Tahoma" w:cs="Tahoma"/>
          <w:sz w:val="24"/>
          <w:szCs w:val="24"/>
        </w:rPr>
        <w:t>Tablas de Control y Acceso</w:t>
      </w:r>
    </w:p>
    <w:p w14:paraId="59B30000" w14:textId="77777777" w:rsidR="0044385F" w:rsidRPr="00B037F7" w:rsidRDefault="0044385F" w:rsidP="0044385F">
      <w:pPr>
        <w:pStyle w:val="Prrafodelista"/>
        <w:numPr>
          <w:ilvl w:val="1"/>
          <w:numId w:val="2"/>
        </w:numPr>
        <w:spacing w:before="240" w:after="240" w:line="360" w:lineRule="auto"/>
        <w:contextualSpacing w:val="0"/>
        <w:jc w:val="both"/>
        <w:outlineLvl w:val="1"/>
        <w:rPr>
          <w:rFonts w:ascii="Tahoma" w:hAnsi="Tahoma" w:cs="Tahoma"/>
          <w:b/>
          <w:sz w:val="24"/>
          <w:szCs w:val="24"/>
        </w:rPr>
      </w:pPr>
      <w:bookmarkStart w:id="2" w:name="_Toc142423185"/>
      <w:r w:rsidRPr="00B037F7">
        <w:rPr>
          <w:rFonts w:ascii="Tahoma" w:hAnsi="Tahoma" w:cs="Tahoma"/>
          <w:b/>
          <w:sz w:val="24"/>
          <w:szCs w:val="24"/>
        </w:rPr>
        <w:t>Preservación de la memoria institucional</w:t>
      </w:r>
      <w:bookmarkEnd w:id="2"/>
      <w:r w:rsidRPr="00B037F7">
        <w:rPr>
          <w:rFonts w:ascii="Tahoma" w:hAnsi="Tahoma" w:cs="Tahoma"/>
          <w:b/>
          <w:sz w:val="24"/>
          <w:szCs w:val="24"/>
        </w:rPr>
        <w:t xml:space="preserve"> </w:t>
      </w:r>
    </w:p>
    <w:p w14:paraId="6F0E4554" w14:textId="49868A42" w:rsidR="00612C70"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 xml:space="preserve">Todas las subgerencias, dependencias, oficinas productoras, empleados, funcionarios y contratistas se comprometen con el mantenimiento y la preservación de la memoria institucional, a su vez que propenderán por la organización, conservación y la correcta disposición final de los documentos de la institución generados en cumplimiento de sus funciones. </w:t>
      </w:r>
    </w:p>
    <w:p w14:paraId="11869F2E" w14:textId="77777777" w:rsidR="0044385F" w:rsidRPr="00B037F7" w:rsidRDefault="0044385F" w:rsidP="0044385F">
      <w:pPr>
        <w:pStyle w:val="Prrafodelista"/>
        <w:numPr>
          <w:ilvl w:val="1"/>
          <w:numId w:val="2"/>
        </w:numPr>
        <w:spacing w:before="240" w:after="240" w:line="360" w:lineRule="auto"/>
        <w:contextualSpacing w:val="0"/>
        <w:jc w:val="both"/>
        <w:outlineLvl w:val="1"/>
        <w:rPr>
          <w:rFonts w:ascii="Tahoma" w:hAnsi="Tahoma" w:cs="Tahoma"/>
          <w:b/>
          <w:sz w:val="24"/>
          <w:szCs w:val="24"/>
        </w:rPr>
      </w:pPr>
      <w:bookmarkStart w:id="3" w:name="_Toc142423186"/>
      <w:r w:rsidRPr="00B037F7">
        <w:rPr>
          <w:rFonts w:ascii="Tahoma" w:hAnsi="Tahoma" w:cs="Tahoma"/>
          <w:b/>
          <w:sz w:val="24"/>
          <w:szCs w:val="24"/>
        </w:rPr>
        <w:lastRenderedPageBreak/>
        <w:t>Transferencias documentales</w:t>
      </w:r>
      <w:bookmarkEnd w:id="3"/>
    </w:p>
    <w:p w14:paraId="74955E55"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Todas las subgerencias, dependencias, oficinas productoras, empleados, funcionarios y contratistas se comprometen a cumplir estrictamente el cronograma de transferencias documentales establecido por la entidad, respetando las fechas y disposiciones que para tal fin estén estipuladas.</w:t>
      </w:r>
    </w:p>
    <w:p w14:paraId="2150CCAE" w14:textId="77777777" w:rsidR="0044385F" w:rsidRPr="00B037F7" w:rsidRDefault="0044385F" w:rsidP="0044385F">
      <w:pPr>
        <w:pStyle w:val="Prrafodelista"/>
        <w:numPr>
          <w:ilvl w:val="1"/>
          <w:numId w:val="2"/>
        </w:numPr>
        <w:spacing w:before="240" w:after="240" w:line="360" w:lineRule="auto"/>
        <w:contextualSpacing w:val="0"/>
        <w:jc w:val="both"/>
        <w:outlineLvl w:val="1"/>
        <w:rPr>
          <w:rFonts w:ascii="Tahoma" w:hAnsi="Tahoma" w:cs="Tahoma"/>
          <w:b/>
          <w:sz w:val="24"/>
          <w:szCs w:val="24"/>
        </w:rPr>
      </w:pPr>
      <w:bookmarkStart w:id="4" w:name="_Toc142423188"/>
      <w:r w:rsidRPr="00B037F7">
        <w:rPr>
          <w:rFonts w:ascii="Tahoma" w:hAnsi="Tahoma" w:cs="Tahoma"/>
          <w:b/>
          <w:sz w:val="24"/>
          <w:szCs w:val="24"/>
        </w:rPr>
        <w:t>Inventarios Documentales</w:t>
      </w:r>
      <w:bookmarkEnd w:id="4"/>
      <w:r w:rsidRPr="00B037F7">
        <w:rPr>
          <w:rFonts w:ascii="Tahoma" w:hAnsi="Tahoma" w:cs="Tahoma"/>
          <w:b/>
          <w:sz w:val="24"/>
          <w:szCs w:val="24"/>
        </w:rPr>
        <w:t xml:space="preserve"> </w:t>
      </w:r>
    </w:p>
    <w:p w14:paraId="33C8F4F8"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 xml:space="preserve">Todas las subgerencias, dependencias, oficinas productoras, empleados, funcionarios y contratistas se comprometen a elaborar y actualizar constantemente los Inventarios Documentales que contengan el producido documental que corresponda al cumplimiento de sus funciones. </w:t>
      </w:r>
    </w:p>
    <w:p w14:paraId="3F6AAC0E" w14:textId="77777777" w:rsidR="0044385F" w:rsidRPr="00B037F7" w:rsidRDefault="0044385F" w:rsidP="0044385F">
      <w:pPr>
        <w:pStyle w:val="Prrafodelista"/>
        <w:numPr>
          <w:ilvl w:val="1"/>
          <w:numId w:val="2"/>
        </w:numPr>
        <w:spacing w:before="240" w:after="240" w:line="360" w:lineRule="auto"/>
        <w:contextualSpacing w:val="0"/>
        <w:jc w:val="both"/>
        <w:outlineLvl w:val="1"/>
        <w:rPr>
          <w:rFonts w:ascii="Tahoma" w:hAnsi="Tahoma" w:cs="Tahoma"/>
          <w:b/>
          <w:sz w:val="24"/>
          <w:szCs w:val="24"/>
        </w:rPr>
      </w:pPr>
      <w:bookmarkStart w:id="5" w:name="_Toc142423189"/>
      <w:r w:rsidRPr="00B037F7">
        <w:rPr>
          <w:rFonts w:ascii="Tahoma" w:hAnsi="Tahoma" w:cs="Tahoma"/>
          <w:b/>
          <w:sz w:val="24"/>
          <w:szCs w:val="24"/>
        </w:rPr>
        <w:t>Digitalización</w:t>
      </w:r>
      <w:bookmarkEnd w:id="5"/>
    </w:p>
    <w:p w14:paraId="7A576661"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 xml:space="preserve">Todas las subgerencias, dependencias, oficinas productoras, empleados, funcionarios y contratistas se comprometen cumplir con los procedimientos de digitalización establecidos por la Tabla de Valoración Documental y la Tabla de Retención Documental. </w:t>
      </w:r>
    </w:p>
    <w:p w14:paraId="05FF9A84" w14:textId="77777777" w:rsidR="0044385F" w:rsidRPr="00B037F7" w:rsidRDefault="0044385F" w:rsidP="0044385F">
      <w:pPr>
        <w:pStyle w:val="Prrafodelista"/>
        <w:numPr>
          <w:ilvl w:val="1"/>
          <w:numId w:val="2"/>
        </w:numPr>
        <w:spacing w:before="240" w:after="240" w:line="360" w:lineRule="auto"/>
        <w:contextualSpacing w:val="0"/>
        <w:jc w:val="both"/>
        <w:outlineLvl w:val="1"/>
        <w:rPr>
          <w:rFonts w:ascii="Tahoma" w:hAnsi="Tahoma" w:cs="Tahoma"/>
          <w:b/>
          <w:sz w:val="24"/>
          <w:szCs w:val="24"/>
        </w:rPr>
      </w:pPr>
      <w:bookmarkStart w:id="6" w:name="_Toc142423190"/>
      <w:r w:rsidRPr="00B037F7">
        <w:rPr>
          <w:rFonts w:ascii="Tahoma" w:hAnsi="Tahoma" w:cs="Tahoma"/>
          <w:b/>
          <w:sz w:val="24"/>
          <w:szCs w:val="24"/>
        </w:rPr>
        <w:t>Consulta y préstamo de documentos</w:t>
      </w:r>
      <w:bookmarkEnd w:id="6"/>
      <w:r w:rsidRPr="00B037F7">
        <w:rPr>
          <w:rFonts w:ascii="Tahoma" w:hAnsi="Tahoma" w:cs="Tahoma"/>
          <w:b/>
          <w:sz w:val="24"/>
          <w:szCs w:val="24"/>
        </w:rPr>
        <w:t xml:space="preserve"> </w:t>
      </w:r>
    </w:p>
    <w:p w14:paraId="39D7766C" w14:textId="77777777" w:rsidR="0044385F" w:rsidRPr="00B037F7" w:rsidRDefault="0044385F" w:rsidP="0044385F">
      <w:pPr>
        <w:spacing w:before="240" w:after="240" w:line="360" w:lineRule="auto"/>
        <w:jc w:val="both"/>
        <w:rPr>
          <w:rFonts w:ascii="Tahoma" w:hAnsi="Tahoma" w:cs="Tahoma"/>
          <w:sz w:val="24"/>
          <w:szCs w:val="24"/>
        </w:rPr>
      </w:pPr>
      <w:r w:rsidRPr="00B037F7">
        <w:rPr>
          <w:rFonts w:ascii="Tahoma" w:hAnsi="Tahoma" w:cs="Tahoma"/>
          <w:sz w:val="24"/>
          <w:szCs w:val="24"/>
        </w:rPr>
        <w:t xml:space="preserve">El acceso a la información pública es un derecho constitucional de todos los ciudadanos y solo se restringe el acceso a la información en los casos que exceptúa la ley por motivos de reserva.  </w:t>
      </w:r>
    </w:p>
    <w:p w14:paraId="19E6D71E" w14:textId="77777777" w:rsidR="009D1EED" w:rsidRPr="00B037F7" w:rsidRDefault="009D1EED" w:rsidP="00FF3425">
      <w:pPr>
        <w:pStyle w:val="Default"/>
        <w:spacing w:line="360" w:lineRule="auto"/>
        <w:jc w:val="both"/>
        <w:rPr>
          <w:rFonts w:ascii="Tahoma" w:hAnsi="Tahoma" w:cs="Tahoma"/>
        </w:rPr>
      </w:pPr>
      <w:r w:rsidRPr="00B037F7">
        <w:rPr>
          <w:rFonts w:ascii="Tahoma" w:hAnsi="Tahoma" w:cs="Tahoma"/>
        </w:rPr>
        <w:t xml:space="preserve">La organización de los archivos de oficina debe basarse en el Cuadro de Clasificación y Calendario de Conservación Documental de la Universidad. </w:t>
      </w:r>
    </w:p>
    <w:p w14:paraId="566BAF73" w14:textId="422DF8AF" w:rsidR="001F4F79" w:rsidRDefault="009D1EED" w:rsidP="00DF0F46">
      <w:pPr>
        <w:pStyle w:val="Default"/>
        <w:spacing w:line="360" w:lineRule="auto"/>
        <w:jc w:val="both"/>
        <w:rPr>
          <w:rFonts w:ascii="Tahoma" w:hAnsi="Tahoma" w:cs="Tahoma"/>
        </w:rPr>
      </w:pPr>
      <w:r w:rsidRPr="00B037F7">
        <w:rPr>
          <w:rFonts w:ascii="Tahoma" w:hAnsi="Tahoma" w:cs="Tahoma"/>
          <w:bCs/>
        </w:rPr>
        <w:lastRenderedPageBreak/>
        <w:t xml:space="preserve">La eliminación </w:t>
      </w:r>
      <w:r w:rsidRPr="00B037F7">
        <w:rPr>
          <w:rFonts w:ascii="Tahoma" w:hAnsi="Tahoma" w:cs="Tahoma"/>
        </w:rPr>
        <w:t xml:space="preserve">de documentación en el </w:t>
      </w:r>
      <w:r w:rsidRPr="00B037F7">
        <w:rPr>
          <w:rFonts w:ascii="Tahoma" w:hAnsi="Tahoma" w:cs="Tahoma"/>
          <w:bCs/>
        </w:rPr>
        <w:t xml:space="preserve">archivo de oficina </w:t>
      </w:r>
      <w:r w:rsidRPr="00B037F7">
        <w:rPr>
          <w:rFonts w:ascii="Tahoma" w:hAnsi="Tahoma" w:cs="Tahoma"/>
        </w:rPr>
        <w:t>deberá hacerse siempre de manera controlada, teniendo en cuenta lo dispuesto por la legislación sobre protección de datos de carácter personal, de manera que se utilizará para</w:t>
      </w:r>
      <w:r w:rsidR="00E751C8" w:rsidRPr="00B037F7">
        <w:rPr>
          <w:rFonts w:ascii="Tahoma" w:hAnsi="Tahoma" w:cs="Tahoma"/>
        </w:rPr>
        <w:t xml:space="preserve"> ello una máquina destructora. </w:t>
      </w:r>
    </w:p>
    <w:p w14:paraId="7C36B4C0" w14:textId="77777777" w:rsidR="001F4F79" w:rsidRPr="00B037F7" w:rsidRDefault="001F4F79" w:rsidP="00FF3425">
      <w:pPr>
        <w:pStyle w:val="Default"/>
        <w:spacing w:line="360" w:lineRule="auto"/>
        <w:rPr>
          <w:rFonts w:ascii="Tahoma" w:hAnsi="Tahoma" w:cs="Tahoma"/>
        </w:rPr>
      </w:pPr>
    </w:p>
    <w:p w14:paraId="59C1321E" w14:textId="77777777" w:rsidR="003B64ED" w:rsidRPr="00B037F7" w:rsidRDefault="003B64ED" w:rsidP="00DF0F46">
      <w:pPr>
        <w:pStyle w:val="Default"/>
        <w:numPr>
          <w:ilvl w:val="0"/>
          <w:numId w:val="2"/>
        </w:numPr>
        <w:spacing w:line="360" w:lineRule="auto"/>
        <w:rPr>
          <w:rFonts w:ascii="Tahoma" w:hAnsi="Tahoma" w:cs="Tahoma"/>
          <w:b/>
          <w:bCs/>
        </w:rPr>
      </w:pPr>
      <w:r w:rsidRPr="00B037F7">
        <w:rPr>
          <w:rFonts w:ascii="Tahoma" w:hAnsi="Tahoma" w:cs="Tahoma"/>
          <w:b/>
          <w:bCs/>
        </w:rPr>
        <w:t>T</w:t>
      </w:r>
      <w:r w:rsidR="00323F7B" w:rsidRPr="00B037F7">
        <w:rPr>
          <w:rFonts w:ascii="Tahoma" w:hAnsi="Tahoma" w:cs="Tahoma"/>
          <w:b/>
          <w:bCs/>
        </w:rPr>
        <w:t>RANSFERENCIA DE DOCUMENTACIÓN AL ARCHIVO CENTRAL: PROCEDIMIENTOS</w:t>
      </w:r>
    </w:p>
    <w:p w14:paraId="63AC9937" w14:textId="77777777" w:rsidR="003B64ED" w:rsidRPr="00B037F7" w:rsidRDefault="003B64ED" w:rsidP="00FF3425">
      <w:pPr>
        <w:pStyle w:val="Default"/>
        <w:spacing w:line="360" w:lineRule="auto"/>
        <w:rPr>
          <w:rFonts w:ascii="Tahoma" w:hAnsi="Tahoma" w:cs="Tahoma"/>
          <w:b/>
          <w:bCs/>
        </w:rPr>
      </w:pPr>
    </w:p>
    <w:p w14:paraId="6F7EB788" w14:textId="77777777" w:rsidR="00D04DF1" w:rsidRPr="00B037F7" w:rsidRDefault="00790DBF" w:rsidP="00790DBF">
      <w:pPr>
        <w:pStyle w:val="Default"/>
        <w:spacing w:line="360" w:lineRule="auto"/>
        <w:jc w:val="both"/>
        <w:rPr>
          <w:rFonts w:ascii="Tahoma" w:hAnsi="Tahoma" w:cs="Tahoma"/>
          <w:bCs/>
        </w:rPr>
      </w:pPr>
      <w:r w:rsidRPr="00B037F7">
        <w:rPr>
          <w:rFonts w:ascii="Tahoma" w:hAnsi="Tahoma" w:cs="Tahoma"/>
          <w:bCs/>
        </w:rPr>
        <w:t>La transferencia documental e</w:t>
      </w:r>
      <w:r w:rsidR="000C1EC3" w:rsidRPr="00B037F7">
        <w:rPr>
          <w:rFonts w:ascii="Tahoma" w:hAnsi="Tahoma" w:cs="Tahoma"/>
          <w:bCs/>
        </w:rPr>
        <w:t>s</w:t>
      </w:r>
      <w:r w:rsidRPr="00B037F7">
        <w:rPr>
          <w:rFonts w:ascii="Tahoma" w:hAnsi="Tahoma" w:cs="Tahoma"/>
          <w:bCs/>
        </w:rPr>
        <w:t xml:space="preserve"> un proceso ordenado y sistemático </w:t>
      </w:r>
      <w:r w:rsidR="000C1EC3" w:rsidRPr="00B037F7">
        <w:rPr>
          <w:rFonts w:ascii="Tahoma" w:hAnsi="Tahoma" w:cs="Tahoma"/>
          <w:bCs/>
        </w:rPr>
        <w:t>mediante</w:t>
      </w:r>
      <w:r w:rsidRPr="00B037F7">
        <w:rPr>
          <w:rFonts w:ascii="Tahoma" w:hAnsi="Tahoma" w:cs="Tahoma"/>
          <w:bCs/>
        </w:rPr>
        <w:t xml:space="preserve"> el cual se trasladan documentos del archivo de gestión a otro</w:t>
      </w:r>
      <w:r w:rsidR="000C1EC3" w:rsidRPr="00B037F7">
        <w:rPr>
          <w:rFonts w:ascii="Tahoma" w:hAnsi="Tahoma" w:cs="Tahoma"/>
          <w:bCs/>
        </w:rPr>
        <w:t>, siguiendo los criterios establecidos, tiempos de retención según las Tablas de Retención documental y disposición final cumpliendo siempre con la normatividad archivística vigente.</w:t>
      </w:r>
    </w:p>
    <w:p w14:paraId="6B53D377" w14:textId="77777777" w:rsidR="000C1EC3" w:rsidRPr="00B037F7" w:rsidRDefault="000C1EC3" w:rsidP="00790DBF">
      <w:pPr>
        <w:pStyle w:val="Default"/>
        <w:spacing w:line="360" w:lineRule="auto"/>
        <w:jc w:val="both"/>
        <w:rPr>
          <w:rFonts w:ascii="Tahoma" w:hAnsi="Tahoma" w:cs="Tahoma"/>
          <w:bCs/>
        </w:rPr>
      </w:pPr>
    </w:p>
    <w:p w14:paraId="09E46E33" w14:textId="77777777" w:rsidR="000C1EC3" w:rsidRPr="00B037F7" w:rsidRDefault="000C1EC3" w:rsidP="00790DBF">
      <w:pPr>
        <w:pStyle w:val="Default"/>
        <w:spacing w:line="360" w:lineRule="auto"/>
        <w:jc w:val="both"/>
        <w:rPr>
          <w:rFonts w:ascii="Tahoma" w:hAnsi="Tahoma" w:cs="Tahoma"/>
          <w:bCs/>
        </w:rPr>
      </w:pPr>
      <w:r w:rsidRPr="00B037F7">
        <w:rPr>
          <w:rFonts w:ascii="Tahoma" w:hAnsi="Tahoma" w:cs="Tahoma"/>
          <w:bCs/>
        </w:rPr>
        <w:t>Dicha transferencia implica un cambio de custodia y responsabilidad sobre los documentos, y se realiza con el objetivo de garantizar su conservación a largo plazo y a su vez garantiza el acceso a la información custodiada en el Archivo Central.</w:t>
      </w:r>
    </w:p>
    <w:p w14:paraId="1B6458A5" w14:textId="77777777" w:rsidR="000C1EC3" w:rsidRPr="00B037F7" w:rsidRDefault="000C1EC3" w:rsidP="00790DBF">
      <w:pPr>
        <w:pStyle w:val="Default"/>
        <w:spacing w:line="360" w:lineRule="auto"/>
        <w:jc w:val="both"/>
        <w:rPr>
          <w:rFonts w:ascii="Tahoma" w:hAnsi="Tahoma" w:cs="Tahoma"/>
        </w:rPr>
      </w:pPr>
    </w:p>
    <w:p w14:paraId="73A97BAB" w14:textId="77777777" w:rsidR="003B64ED" w:rsidRPr="00B037F7" w:rsidRDefault="000C1EC3" w:rsidP="000C1EC3">
      <w:pPr>
        <w:pStyle w:val="Default"/>
        <w:numPr>
          <w:ilvl w:val="1"/>
          <w:numId w:val="2"/>
        </w:numPr>
        <w:spacing w:line="360" w:lineRule="auto"/>
        <w:jc w:val="both"/>
        <w:rPr>
          <w:rFonts w:ascii="Tahoma" w:hAnsi="Tahoma" w:cs="Tahoma"/>
          <w:b/>
        </w:rPr>
      </w:pPr>
      <w:r w:rsidRPr="00B037F7">
        <w:rPr>
          <w:rFonts w:ascii="Tahoma" w:hAnsi="Tahoma" w:cs="Tahoma"/>
          <w:b/>
        </w:rPr>
        <w:t xml:space="preserve"> </w:t>
      </w:r>
      <w:r w:rsidR="00D06A97" w:rsidRPr="00B037F7">
        <w:rPr>
          <w:rFonts w:ascii="Tahoma" w:hAnsi="Tahoma" w:cs="Tahoma"/>
          <w:b/>
        </w:rPr>
        <w:t>Requisitos</w:t>
      </w:r>
    </w:p>
    <w:p w14:paraId="47FA4522" w14:textId="77777777" w:rsidR="000C1EC3" w:rsidRPr="00B037F7" w:rsidRDefault="000C1EC3" w:rsidP="000C1EC3">
      <w:pPr>
        <w:pStyle w:val="Default"/>
        <w:spacing w:line="360" w:lineRule="auto"/>
        <w:ind w:left="360"/>
        <w:jc w:val="both"/>
        <w:rPr>
          <w:rFonts w:ascii="Tahoma" w:hAnsi="Tahoma" w:cs="Tahoma"/>
          <w:b/>
        </w:rPr>
      </w:pPr>
    </w:p>
    <w:p w14:paraId="673B067C" w14:textId="77777777" w:rsidR="000C1EC3" w:rsidRPr="00B037F7" w:rsidRDefault="000C1EC3" w:rsidP="000C1EC3">
      <w:pPr>
        <w:tabs>
          <w:tab w:val="left" w:pos="5057"/>
        </w:tabs>
        <w:spacing w:line="360" w:lineRule="auto"/>
        <w:jc w:val="both"/>
        <w:rPr>
          <w:rFonts w:ascii="Tahoma" w:hAnsi="Tahoma" w:cs="Tahoma"/>
          <w:sz w:val="24"/>
          <w:szCs w:val="24"/>
        </w:rPr>
      </w:pPr>
      <w:r w:rsidRPr="00B037F7">
        <w:rPr>
          <w:rFonts w:ascii="Tahoma" w:hAnsi="Tahoma" w:cs="Tahoma"/>
          <w:b/>
          <w:sz w:val="24"/>
          <w:szCs w:val="24"/>
        </w:rPr>
        <w:t>EMPRESAS PÚBLICAS DEL QUINDÍO EPQ S.A E.S.P</w:t>
      </w:r>
      <w:r w:rsidRPr="00B037F7">
        <w:rPr>
          <w:rFonts w:ascii="Tahoma" w:hAnsi="Tahoma" w:cs="Tahoma"/>
          <w:sz w:val="24"/>
          <w:szCs w:val="24"/>
        </w:rPr>
        <w:t xml:space="preserve">, deberá preparar los documentos a transferir, de conformidad con los tiempos de custodia asignados en las Tablas de Retención Documental y el cronograma de transferencias documentales que la oficina de Gestión Administrativa con el apoyo del Archivo Central realizará dicho cronograma anualmente, donde se establecerán los tiempos de transferencia para cada oficina productora, el cual deberá ser cumplido en su </w:t>
      </w:r>
      <w:r w:rsidRPr="00B037F7">
        <w:rPr>
          <w:rFonts w:ascii="Tahoma" w:hAnsi="Tahoma" w:cs="Tahoma"/>
          <w:sz w:val="24"/>
          <w:szCs w:val="24"/>
        </w:rPr>
        <w:lastRenderedPageBreak/>
        <w:t>totalidad con el fin de no generar retrasos en el proceso de transferencia documental.</w:t>
      </w:r>
    </w:p>
    <w:p w14:paraId="5E74BAC8" w14:textId="77777777" w:rsidR="000C1EC3" w:rsidRPr="00B037F7" w:rsidRDefault="000C1EC3" w:rsidP="000C1EC3">
      <w:pPr>
        <w:tabs>
          <w:tab w:val="left" w:pos="5057"/>
        </w:tabs>
        <w:spacing w:line="360" w:lineRule="auto"/>
        <w:jc w:val="both"/>
        <w:rPr>
          <w:rFonts w:ascii="Tahoma" w:hAnsi="Tahoma" w:cs="Tahoma"/>
          <w:sz w:val="24"/>
          <w:szCs w:val="24"/>
        </w:rPr>
      </w:pPr>
      <w:r w:rsidRPr="00B037F7">
        <w:rPr>
          <w:rFonts w:ascii="Tahoma" w:hAnsi="Tahoma" w:cs="Tahoma"/>
          <w:sz w:val="24"/>
          <w:szCs w:val="24"/>
        </w:rPr>
        <w:t>Una vez cumplido el tiempo de retención de los documentos, establecido en la Tabla de Retención Documental, las transferencias documentales permiten:</w:t>
      </w:r>
    </w:p>
    <w:p w14:paraId="3F2E6E89" w14:textId="77777777" w:rsidR="000C1EC3" w:rsidRPr="00B037F7" w:rsidRDefault="000C1EC3" w:rsidP="000C1EC3">
      <w:pPr>
        <w:numPr>
          <w:ilvl w:val="0"/>
          <w:numId w:val="29"/>
        </w:numPr>
        <w:tabs>
          <w:tab w:val="left" w:pos="5057"/>
        </w:tabs>
        <w:spacing w:after="0" w:line="360" w:lineRule="auto"/>
        <w:contextualSpacing/>
        <w:jc w:val="both"/>
        <w:rPr>
          <w:rFonts w:ascii="Tahoma" w:hAnsi="Tahoma" w:cs="Tahoma"/>
          <w:sz w:val="24"/>
          <w:szCs w:val="24"/>
        </w:rPr>
      </w:pPr>
      <w:r w:rsidRPr="00B037F7">
        <w:rPr>
          <w:rFonts w:ascii="Tahoma" w:hAnsi="Tahoma" w:cs="Tahoma"/>
          <w:sz w:val="24"/>
          <w:szCs w:val="24"/>
        </w:rPr>
        <w:t>Garantizar a los ciudadanos el acceso a la información.</w:t>
      </w:r>
    </w:p>
    <w:p w14:paraId="73535C7A" w14:textId="77777777" w:rsidR="000C1EC3" w:rsidRPr="00B037F7" w:rsidRDefault="000C1EC3" w:rsidP="000C1EC3">
      <w:pPr>
        <w:numPr>
          <w:ilvl w:val="0"/>
          <w:numId w:val="29"/>
        </w:numPr>
        <w:tabs>
          <w:tab w:val="left" w:pos="5057"/>
        </w:tabs>
        <w:spacing w:after="0" w:line="360" w:lineRule="auto"/>
        <w:contextualSpacing/>
        <w:jc w:val="both"/>
        <w:rPr>
          <w:rFonts w:ascii="Tahoma" w:hAnsi="Tahoma" w:cs="Tahoma"/>
          <w:sz w:val="24"/>
          <w:szCs w:val="24"/>
        </w:rPr>
      </w:pPr>
      <w:r w:rsidRPr="00B037F7">
        <w:rPr>
          <w:rFonts w:ascii="Tahoma" w:hAnsi="Tahoma" w:cs="Tahoma"/>
          <w:sz w:val="24"/>
          <w:szCs w:val="24"/>
        </w:rPr>
        <w:t>Asegurar y facilitar el control efectivo y ordenado de la documentación.</w:t>
      </w:r>
    </w:p>
    <w:p w14:paraId="600FA4F0" w14:textId="77777777" w:rsidR="000C1EC3" w:rsidRPr="00B037F7" w:rsidRDefault="000C1EC3" w:rsidP="000C1EC3">
      <w:pPr>
        <w:numPr>
          <w:ilvl w:val="0"/>
          <w:numId w:val="29"/>
        </w:numPr>
        <w:tabs>
          <w:tab w:val="left" w:pos="5057"/>
        </w:tabs>
        <w:spacing w:after="0" w:line="360" w:lineRule="auto"/>
        <w:contextualSpacing/>
        <w:jc w:val="both"/>
        <w:rPr>
          <w:rFonts w:ascii="Tahoma" w:hAnsi="Tahoma" w:cs="Tahoma"/>
          <w:sz w:val="24"/>
          <w:szCs w:val="24"/>
        </w:rPr>
      </w:pPr>
      <w:r w:rsidRPr="00B037F7">
        <w:rPr>
          <w:rFonts w:ascii="Tahoma" w:hAnsi="Tahoma" w:cs="Tahoma"/>
          <w:sz w:val="24"/>
          <w:szCs w:val="24"/>
        </w:rPr>
        <w:t>Solucionar, física y funcionalmente, el problema de   la acumulación de documentos en las dependencias.</w:t>
      </w:r>
    </w:p>
    <w:p w14:paraId="53376553" w14:textId="77777777" w:rsidR="000C1EC3" w:rsidRPr="00B037F7" w:rsidRDefault="000C1EC3" w:rsidP="000C1EC3">
      <w:pPr>
        <w:numPr>
          <w:ilvl w:val="0"/>
          <w:numId w:val="29"/>
        </w:numPr>
        <w:tabs>
          <w:tab w:val="left" w:pos="5057"/>
        </w:tabs>
        <w:spacing w:after="0" w:line="360" w:lineRule="auto"/>
        <w:contextualSpacing/>
        <w:jc w:val="both"/>
        <w:rPr>
          <w:rFonts w:ascii="Tahoma" w:hAnsi="Tahoma" w:cs="Tahoma"/>
          <w:sz w:val="24"/>
          <w:szCs w:val="24"/>
        </w:rPr>
      </w:pPr>
      <w:r w:rsidRPr="00B037F7">
        <w:rPr>
          <w:rFonts w:ascii="Tahoma" w:hAnsi="Tahoma" w:cs="Tahoma"/>
          <w:sz w:val="24"/>
          <w:szCs w:val="24"/>
        </w:rPr>
        <w:t>Concentrar la información útil, ya sea para la toma de decisiones administrativas o para el conocimiento del desarrollo histórico institucional.</w:t>
      </w:r>
    </w:p>
    <w:p w14:paraId="0F370EB3" w14:textId="77777777" w:rsidR="00B037F7" w:rsidRDefault="00B037F7" w:rsidP="000C1EC3">
      <w:pPr>
        <w:tabs>
          <w:tab w:val="left" w:pos="5057"/>
        </w:tabs>
        <w:spacing w:line="360" w:lineRule="auto"/>
        <w:jc w:val="both"/>
        <w:rPr>
          <w:rFonts w:ascii="Tahoma" w:hAnsi="Tahoma" w:cs="Tahoma"/>
          <w:sz w:val="24"/>
          <w:szCs w:val="24"/>
        </w:rPr>
      </w:pPr>
    </w:p>
    <w:p w14:paraId="4E3BB1EF" w14:textId="77777777" w:rsidR="000C1EC3" w:rsidRPr="00B037F7" w:rsidRDefault="000C1EC3" w:rsidP="000C1EC3">
      <w:pPr>
        <w:tabs>
          <w:tab w:val="left" w:pos="5057"/>
        </w:tabs>
        <w:spacing w:line="360" w:lineRule="auto"/>
        <w:jc w:val="both"/>
        <w:rPr>
          <w:rFonts w:ascii="Tahoma" w:hAnsi="Tahoma" w:cs="Tahoma"/>
          <w:sz w:val="24"/>
          <w:szCs w:val="24"/>
        </w:rPr>
      </w:pPr>
      <w:r w:rsidRPr="00B037F7">
        <w:rPr>
          <w:rFonts w:ascii="Tahoma" w:hAnsi="Tahoma" w:cs="Tahoma"/>
          <w:sz w:val="24"/>
          <w:szCs w:val="24"/>
        </w:rPr>
        <w:t xml:space="preserve">Para esto, se debe seleccionar y clasificar las Series y Subseries Documentales a transferir; los expedientes se ordenan por año ascendentemente y por serie documental. </w:t>
      </w:r>
    </w:p>
    <w:p w14:paraId="6325ED8C" w14:textId="77777777" w:rsidR="000C1EC3" w:rsidRPr="00B037F7" w:rsidRDefault="000C1EC3" w:rsidP="000C1EC3">
      <w:pPr>
        <w:tabs>
          <w:tab w:val="left" w:pos="5057"/>
        </w:tabs>
        <w:spacing w:line="360" w:lineRule="auto"/>
        <w:jc w:val="both"/>
        <w:rPr>
          <w:rFonts w:ascii="Tahoma" w:hAnsi="Tahoma" w:cs="Tahoma"/>
          <w:sz w:val="24"/>
          <w:szCs w:val="24"/>
        </w:rPr>
      </w:pPr>
      <w:r w:rsidRPr="00B037F7">
        <w:rPr>
          <w:rFonts w:ascii="Tahoma" w:hAnsi="Tahoma" w:cs="Tahoma"/>
          <w:sz w:val="24"/>
          <w:szCs w:val="24"/>
        </w:rPr>
        <w:t>La Tabla de Retención Documental también establece el tiempo de retención de los expedientes en el Archivo Central, definiendo cuándo se deben realizar transferencias documentales del Archivo Central al Archivo Histórico.</w:t>
      </w:r>
    </w:p>
    <w:p w14:paraId="4116F7E4" w14:textId="77777777" w:rsidR="000C1EC3" w:rsidRDefault="000C1EC3" w:rsidP="000C1EC3">
      <w:pPr>
        <w:tabs>
          <w:tab w:val="left" w:pos="5057"/>
        </w:tabs>
        <w:spacing w:line="360" w:lineRule="auto"/>
        <w:jc w:val="both"/>
        <w:rPr>
          <w:rFonts w:ascii="Tahoma" w:hAnsi="Tahoma" w:cs="Tahoma"/>
          <w:sz w:val="24"/>
          <w:szCs w:val="24"/>
        </w:rPr>
      </w:pPr>
      <w:r w:rsidRPr="00B037F7">
        <w:rPr>
          <w:rFonts w:ascii="Tahoma" w:hAnsi="Tahoma" w:cs="Tahoma"/>
          <w:b/>
          <w:sz w:val="24"/>
          <w:szCs w:val="24"/>
        </w:rPr>
        <w:t>EMPRESAS PÚBLICAS DEL QUINDÍO EPQ S.A E.S.P</w:t>
      </w:r>
      <w:r w:rsidRPr="00B037F7">
        <w:rPr>
          <w:rFonts w:ascii="Tahoma" w:hAnsi="Tahoma" w:cs="Tahoma"/>
          <w:sz w:val="24"/>
          <w:szCs w:val="24"/>
        </w:rPr>
        <w:t>, tiene que cumplir con la fecha establecida en el cronograma de transferencias documentales.</w:t>
      </w:r>
    </w:p>
    <w:p w14:paraId="2930AC1D"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Para realizar la transferencia documental, ya sea primaria o secundaria, es obligatorio tener diligenciado en su totalidad el Formato Único de Inventario Documental.</w:t>
      </w:r>
    </w:p>
    <w:p w14:paraId="4B47968C"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 xml:space="preserve">Se prepara la documentación a transferir siguiendo los pasos que se enuncian a continuación (limpieza de los documentos, organización, clasificación documental y otras): </w:t>
      </w:r>
    </w:p>
    <w:p w14:paraId="146753AD"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Limpiar la documentación</w:t>
      </w:r>
    </w:p>
    <w:p w14:paraId="5B01CD04"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Para limpiar los documentos, el personal dedicado a esta tarea deberá disponer de elementos de trabajo apropiados como: bata, gorra, tapabocas y guantes de látex.  </w:t>
      </w:r>
    </w:p>
    <w:p w14:paraId="6F2302FE"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Eliminar el material metálico</w:t>
      </w:r>
    </w:p>
    <w:p w14:paraId="2D36C3BC"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Este proceso puede llevarse a cabo de manera simultánea con el de la limpieza. Se debe retirar el material como: clips, ganchos de cosedora, ganchos legajadores metálicos, adhesivos, separadores y demás elementos externos que no formen parte del documento. Lo anterior se realiza procurando no ocasionar deterioro de tipo físico a la documentación. </w:t>
      </w:r>
    </w:p>
    <w:p w14:paraId="28FFC7B5"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Depurar los documentos</w:t>
      </w:r>
    </w:p>
    <w:p w14:paraId="779D3E5F"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Es una actividad de mucha responsabilidad, se debe contar con la ayuda del jefe de la dependencia quien autoriza la eliminación de documentos.</w:t>
      </w:r>
    </w:p>
    <w:p w14:paraId="666EB79F"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Entre los documentos que se deben eliminar, previa revisión y autorización del jefe o coordinador de la dependencia, pueden estar: documentos en borrador, catálogos, boletines, instructivos, periódicos, revistas, formatos en blanco, hojas en blanco, copias, notas, carteles, acetatos, invitaciones, permisos, certificados, constancias, diplomas y otros documentos que traten asuntos personales, que no pertenezcan a la serie documental y no hagan parte de las evidencias de algún proceso administrativo de la institución. </w:t>
      </w:r>
    </w:p>
    <w:p w14:paraId="40874B5E"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Revisar y foliar</w:t>
      </w:r>
    </w:p>
    <w:p w14:paraId="2163319D"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 xml:space="preserve">La documentación debe estar ordenada cronológicamente (de enero a diciembre), la foliación de los documentos se debe hacer utilizando lápiz de mina negra. Iniciar de uno (1) en adelante en la parte superior derecha de la hoja en el mismo sentido del texto, de manera legible y sin enmendaduras. </w:t>
      </w:r>
    </w:p>
    <w:p w14:paraId="75730D0D"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Unidades de conservación y almacenamiento</w:t>
      </w:r>
    </w:p>
    <w:p w14:paraId="59C8B4B1"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Las unidades de conservación recomendadas, no solo para la transferencia sino también para almacenar la documentación en el archivo central o histórico son las carpetas blancas de Propalcote de dos aletas y las cajas Ref. 35-12. Marca Minerva o Norma (Ficha técnica. Dimensiones internas: 405 × 208 × 260 mm. Material: C720 kraft).</w:t>
      </w:r>
    </w:p>
    <w:p w14:paraId="03C8C5A4"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Queda prohibido utilizar pastas de argolla, AZ y encuadernaciones de documentos. En el archivo central no se recibe documentación almacenada en lo mencionado.</w:t>
      </w:r>
    </w:p>
    <w:p w14:paraId="4852E82A"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Realizar inventario</w:t>
      </w:r>
    </w:p>
    <w:p w14:paraId="2FA166F4"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Tomar ordenadamente las carpetas que estén debidamente organizadas e identificadas, correspondientes a cada serie o subserie y relacionarlas en el Formato Único de Inventario Documental en formato físico y digital, siendo responsabilidad de cada oficina productora y deber ser entregado en el momento de la transferencia. </w:t>
      </w:r>
    </w:p>
    <w:p w14:paraId="5DF7745B"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t>Realizar embalaje</w:t>
      </w:r>
    </w:p>
    <w:p w14:paraId="7937BF77"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Una vez se hayan cumplido los pasos anteriores, se procederá al embalaje o empaque, en cajas. Al empacar las carpetas se conserva el orden estricto del inventario que debe estar alineado al de la Tabla de Retención Documental.</w:t>
      </w:r>
    </w:p>
    <w:p w14:paraId="6AB93476"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Ingresan las carpetas a la caja de archivo de izquierda a derecha de la estantería. </w:t>
      </w:r>
    </w:p>
    <w:p w14:paraId="5E1E7300"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b/>
          <w:sz w:val="24"/>
          <w:szCs w:val="24"/>
        </w:rPr>
      </w:pPr>
      <w:r w:rsidRPr="003F6CBD">
        <w:rPr>
          <w:rFonts w:ascii="Tahoma" w:hAnsi="Tahoma" w:cs="Tahoma"/>
          <w:b/>
          <w:sz w:val="24"/>
          <w:szCs w:val="24"/>
        </w:rPr>
        <w:lastRenderedPageBreak/>
        <w:t>Validar la Transferencia</w:t>
      </w:r>
    </w:p>
    <w:p w14:paraId="512EA290"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Una vez recibida la documentación objeto de la transferencia documental, el responsable del Archivo Central y el Comité Institucional de Gestión y Desempeño, realiza la validación descrita a continuación:</w:t>
      </w:r>
    </w:p>
    <w:p w14:paraId="051F46CF"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La documentación corresponda a la Tabla de Retención Documental y al Formato Único de Inventario Documental.</w:t>
      </w:r>
    </w:p>
    <w:p w14:paraId="1BEC142C"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Ser objeto de transferencia de acuerdo al tiempo de retención establecido en la Tabla de Retención Documental.</w:t>
      </w:r>
    </w:p>
    <w:p w14:paraId="4ACE8C76"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Estar organizada cronológicamente.</w:t>
      </w:r>
    </w:p>
    <w:p w14:paraId="70EF78B6" w14:textId="77777777" w:rsidR="00B037F7" w:rsidRPr="003F6CBD" w:rsidRDefault="00B037F7" w:rsidP="00B037F7">
      <w:pPr>
        <w:numPr>
          <w:ilvl w:val="0"/>
          <w:numId w:val="3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Estar debidamente foliada.</w:t>
      </w:r>
    </w:p>
    <w:p w14:paraId="2DF6C2E6" w14:textId="77777777" w:rsidR="00B037F7" w:rsidRDefault="00B037F7" w:rsidP="00B037F7">
      <w:pPr>
        <w:numPr>
          <w:ilvl w:val="0"/>
          <w:numId w:val="30"/>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No contener material metálico u otro tipo de material que deteriore la documentación</w:t>
      </w:r>
      <w:r>
        <w:rPr>
          <w:rFonts w:ascii="Tahoma" w:hAnsi="Tahoma" w:cs="Tahoma"/>
          <w:sz w:val="24"/>
          <w:szCs w:val="24"/>
        </w:rPr>
        <w:t>.</w:t>
      </w:r>
    </w:p>
    <w:p w14:paraId="6E9FB0DE" w14:textId="77777777" w:rsidR="00B037F7" w:rsidRPr="003F6CBD" w:rsidRDefault="00B037F7" w:rsidP="00B037F7">
      <w:pPr>
        <w:tabs>
          <w:tab w:val="left" w:pos="5057"/>
        </w:tabs>
        <w:spacing w:after="0" w:line="360" w:lineRule="auto"/>
        <w:ind w:left="720"/>
        <w:contextualSpacing/>
        <w:jc w:val="both"/>
        <w:rPr>
          <w:rFonts w:ascii="Tahoma" w:hAnsi="Tahoma" w:cs="Tahoma"/>
          <w:sz w:val="24"/>
          <w:szCs w:val="24"/>
        </w:rPr>
      </w:pPr>
    </w:p>
    <w:p w14:paraId="7F512124"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sz w:val="24"/>
          <w:szCs w:val="24"/>
        </w:rPr>
        <w:t>Realizada la validación de la transferencia documental, se procede a las siguientes actividades:</w:t>
      </w:r>
    </w:p>
    <w:p w14:paraId="667162E1" w14:textId="77777777" w:rsidR="00B037F7" w:rsidRPr="003F6CBD" w:rsidRDefault="00B037F7" w:rsidP="00B037F7">
      <w:pPr>
        <w:numPr>
          <w:ilvl w:val="0"/>
          <w:numId w:val="31"/>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Asignar el número consecutivo a la caja de archivo y ubicarla en el área del archivo central. </w:t>
      </w:r>
    </w:p>
    <w:p w14:paraId="26EB34DF" w14:textId="77777777" w:rsidR="00B037F7" w:rsidRPr="003F6CBD" w:rsidRDefault="00B037F7" w:rsidP="00B037F7">
      <w:pPr>
        <w:numPr>
          <w:ilvl w:val="0"/>
          <w:numId w:val="31"/>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Consignar en el Formato Único de Inventario Documental el número asignado a las cajas y publicar el inventario en la página institucional.</w:t>
      </w:r>
    </w:p>
    <w:p w14:paraId="28580E67" w14:textId="77777777" w:rsidR="00B037F7" w:rsidRPr="003F6CBD" w:rsidRDefault="00B037F7" w:rsidP="00B037F7">
      <w:pPr>
        <w:tabs>
          <w:tab w:val="left" w:pos="5057"/>
        </w:tabs>
        <w:spacing w:line="360" w:lineRule="auto"/>
        <w:ind w:left="720"/>
        <w:contextualSpacing/>
        <w:jc w:val="both"/>
        <w:rPr>
          <w:rFonts w:ascii="Tahoma" w:hAnsi="Tahoma" w:cs="Tahoma"/>
          <w:sz w:val="24"/>
          <w:szCs w:val="24"/>
        </w:rPr>
      </w:pPr>
      <w:r w:rsidRPr="003F6CBD">
        <w:rPr>
          <w:rFonts w:ascii="Tahoma" w:hAnsi="Tahoma" w:cs="Tahoma"/>
          <w:sz w:val="24"/>
          <w:szCs w:val="24"/>
        </w:rPr>
        <w:t xml:space="preserve"> </w:t>
      </w:r>
    </w:p>
    <w:p w14:paraId="552D5285" w14:textId="77777777" w:rsidR="00B037F7" w:rsidRPr="003F6CBD" w:rsidRDefault="00B037F7" w:rsidP="00B037F7">
      <w:pPr>
        <w:tabs>
          <w:tab w:val="left" w:pos="5057"/>
        </w:tabs>
        <w:spacing w:line="360" w:lineRule="auto"/>
        <w:jc w:val="both"/>
        <w:rPr>
          <w:rFonts w:ascii="Tahoma" w:hAnsi="Tahoma" w:cs="Tahoma"/>
          <w:sz w:val="24"/>
          <w:szCs w:val="24"/>
        </w:rPr>
      </w:pPr>
      <w:r w:rsidRPr="003F6CBD">
        <w:rPr>
          <w:rFonts w:ascii="Tahoma" w:hAnsi="Tahoma" w:cs="Tahoma"/>
          <w:b/>
          <w:sz w:val="24"/>
          <w:szCs w:val="24"/>
        </w:rPr>
        <w:t xml:space="preserve">Nota: </w:t>
      </w:r>
      <w:r w:rsidRPr="003F6CBD">
        <w:rPr>
          <w:rFonts w:ascii="Tahoma" w:hAnsi="Tahoma" w:cs="Tahoma"/>
          <w:sz w:val="24"/>
          <w:szCs w:val="24"/>
        </w:rPr>
        <w:t>En caso que las transferencias presenten inconsistencias se devolverán a la dependencia correspondiente, para que se realicen los ajustes. El tiempo para realizar los ajustes es de 15 días hábiles a partir de la devolución de la misma.</w:t>
      </w:r>
    </w:p>
    <w:p w14:paraId="5743C048" w14:textId="2A5E2212" w:rsidR="001C6F68" w:rsidRPr="003F6CBD" w:rsidRDefault="00B037F7"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Se debe dar prioridad a aquellas dependencias que, por volumen documental, requieran realizar transferencias documentales de manera extraordinaria siempre y cuando se cumplan con todos los requisitos exigidos para las transferencias documentales. También, al interior de cada dependencia, se priorizan los expedientes de consulta baja para ser objeto de transferencia.</w:t>
      </w:r>
    </w:p>
    <w:p w14:paraId="5D34656B" w14:textId="77777777" w:rsidR="001C6F68" w:rsidRPr="001C6F68" w:rsidRDefault="001C6F68" w:rsidP="001C6F68">
      <w:pPr>
        <w:pStyle w:val="Prrafodelista"/>
        <w:numPr>
          <w:ilvl w:val="1"/>
          <w:numId w:val="33"/>
        </w:numPr>
        <w:tabs>
          <w:tab w:val="left" w:pos="5057"/>
        </w:tabs>
        <w:spacing w:after="0" w:line="360" w:lineRule="auto"/>
        <w:jc w:val="both"/>
        <w:outlineLvl w:val="1"/>
        <w:rPr>
          <w:rFonts w:ascii="Tahoma" w:hAnsi="Tahoma" w:cs="Tahoma"/>
          <w:b/>
          <w:sz w:val="24"/>
          <w:szCs w:val="24"/>
        </w:rPr>
      </w:pPr>
      <w:bookmarkStart w:id="7" w:name="_Toc47341102"/>
      <w:r w:rsidRPr="001C6F68">
        <w:rPr>
          <w:rFonts w:ascii="Tahoma" w:hAnsi="Tahoma" w:cs="Tahoma"/>
          <w:b/>
          <w:sz w:val="24"/>
          <w:szCs w:val="24"/>
        </w:rPr>
        <w:t>Periodicidad</w:t>
      </w:r>
      <w:bookmarkEnd w:id="7"/>
      <w:r w:rsidRPr="001C6F68">
        <w:rPr>
          <w:rFonts w:ascii="Tahoma" w:hAnsi="Tahoma" w:cs="Tahoma"/>
          <w:b/>
          <w:sz w:val="24"/>
          <w:szCs w:val="24"/>
        </w:rPr>
        <w:t xml:space="preserve"> </w:t>
      </w:r>
    </w:p>
    <w:p w14:paraId="3E239CDA" w14:textId="77777777" w:rsidR="00B037F7" w:rsidRPr="00B037F7"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La transferencia documental primaria, es decir, los expedientes que transfieren del Archivo de Gestión al Archivo Central, teniendo en cuenta los tiempos de custodia asignados en la Tabla de Retención Documental a cada Serie y Subserie documental</w:t>
      </w:r>
      <w:r>
        <w:rPr>
          <w:rFonts w:ascii="Tahoma" w:hAnsi="Tahoma" w:cs="Tahoma"/>
          <w:sz w:val="24"/>
          <w:szCs w:val="24"/>
        </w:rPr>
        <w:t>, donde se establecerá un cronograma de transferencias y se dará a conocer a las oficinas productoras en el mes de diciembre, el cual será llevado a cabo en la vigencia siguiente</w:t>
      </w:r>
      <w:r w:rsidRPr="003F6CBD">
        <w:rPr>
          <w:rFonts w:ascii="Tahoma" w:hAnsi="Tahoma" w:cs="Tahoma"/>
          <w:sz w:val="24"/>
          <w:szCs w:val="24"/>
        </w:rPr>
        <w:t>.</w:t>
      </w:r>
    </w:p>
    <w:p w14:paraId="77452F02" w14:textId="77777777" w:rsidR="001C6F68" w:rsidRPr="003F6CBD" w:rsidRDefault="001C6F68" w:rsidP="001C6F68">
      <w:pPr>
        <w:tabs>
          <w:tab w:val="left" w:pos="5057"/>
        </w:tabs>
        <w:spacing w:line="360" w:lineRule="auto"/>
        <w:jc w:val="both"/>
        <w:rPr>
          <w:rFonts w:ascii="Tahoma" w:hAnsi="Tahoma" w:cs="Tahoma"/>
          <w:b/>
          <w:bCs/>
          <w:sz w:val="24"/>
          <w:szCs w:val="24"/>
        </w:rPr>
      </w:pPr>
    </w:p>
    <w:p w14:paraId="34295B6F" w14:textId="77777777" w:rsidR="001C6F68" w:rsidRPr="001C6F68" w:rsidRDefault="001C6F68" w:rsidP="001C6F68">
      <w:pPr>
        <w:pStyle w:val="Prrafodelista"/>
        <w:numPr>
          <w:ilvl w:val="1"/>
          <w:numId w:val="33"/>
        </w:numPr>
        <w:tabs>
          <w:tab w:val="left" w:pos="5057"/>
        </w:tabs>
        <w:spacing w:after="0" w:line="360" w:lineRule="auto"/>
        <w:jc w:val="both"/>
        <w:outlineLvl w:val="0"/>
        <w:rPr>
          <w:rFonts w:ascii="Tahoma" w:hAnsi="Tahoma" w:cs="Tahoma"/>
          <w:b/>
          <w:sz w:val="24"/>
          <w:szCs w:val="24"/>
        </w:rPr>
      </w:pPr>
      <w:bookmarkStart w:id="8" w:name="_Toc47341103"/>
      <w:r w:rsidRPr="001C6F68">
        <w:rPr>
          <w:rFonts w:ascii="Tahoma" w:hAnsi="Tahoma" w:cs="Tahoma"/>
          <w:b/>
          <w:sz w:val="24"/>
          <w:szCs w:val="24"/>
        </w:rPr>
        <w:t>Transferencia documental secundaria (del Archivo Central al Archivo Histórico)</w:t>
      </w:r>
      <w:bookmarkEnd w:id="8"/>
    </w:p>
    <w:p w14:paraId="31A586F8"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Para la transferencia secundaria (del Archivo Central al Archivo Histórico) de los documentos de archivo declarados de conservación permanente se deberán seguir los siguientes lineamientos:</w:t>
      </w:r>
    </w:p>
    <w:p w14:paraId="3637A32C" w14:textId="77777777" w:rsidR="001C6F68" w:rsidRPr="003F6CBD" w:rsidRDefault="001C6F68" w:rsidP="001C6F68">
      <w:pPr>
        <w:numPr>
          <w:ilvl w:val="0"/>
          <w:numId w:val="3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Las transferencias de documentos de conservación total o permanente se harán como mínimo cada diez (10) años. No obstante, es de recalcar que esta transferencia se realiza cuando se surtan los tiempos de custodia contemplados en la Tabla de Retención Documental.</w:t>
      </w:r>
    </w:p>
    <w:p w14:paraId="0F7BA8FA" w14:textId="77777777" w:rsidR="001C6F68" w:rsidRPr="003F6CBD" w:rsidRDefault="001C6F68" w:rsidP="001C6F68">
      <w:pPr>
        <w:numPr>
          <w:ilvl w:val="0"/>
          <w:numId w:val="3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lastRenderedPageBreak/>
        <w:t>La entidad deberá enviar al Archivo General de la Nación una comunicación solicitando la recepción de la transferencia documental. (Aplica solo para aquellos documentos de carácter histórico, cultural o científico, cuya importancia sea del orden nacional).</w:t>
      </w:r>
    </w:p>
    <w:p w14:paraId="160E3812" w14:textId="77777777" w:rsidR="001C6F68" w:rsidRPr="003F6CBD" w:rsidRDefault="001C6F68" w:rsidP="001C6F68">
      <w:pPr>
        <w:numPr>
          <w:ilvl w:val="0"/>
          <w:numId w:val="34"/>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 xml:space="preserve">Los documentos cuya transferencia se vaya a llevar a cabo, deberán cumplir con criterios de organización archivística, siguiendo el principio de procedencia, orden original, descripción e integridad de los fondos. </w:t>
      </w:r>
    </w:p>
    <w:p w14:paraId="3A89B553" w14:textId="77777777" w:rsidR="001C6F68" w:rsidRPr="003F6CBD" w:rsidRDefault="001C6F68" w:rsidP="001C6F68">
      <w:pPr>
        <w:tabs>
          <w:tab w:val="left" w:pos="5057"/>
        </w:tabs>
        <w:spacing w:line="360" w:lineRule="auto"/>
        <w:ind w:left="720"/>
        <w:contextualSpacing/>
        <w:jc w:val="both"/>
        <w:rPr>
          <w:rFonts w:ascii="Tahoma" w:hAnsi="Tahoma" w:cs="Tahoma"/>
          <w:sz w:val="24"/>
          <w:szCs w:val="24"/>
        </w:rPr>
      </w:pPr>
    </w:p>
    <w:p w14:paraId="4FFE0020"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En todo caso, las transferencias se deben realizar con estricta aplicación de las Tablas de Retención Documental por Series y Subseries Documentales.</w:t>
      </w:r>
    </w:p>
    <w:p w14:paraId="5E57B6B2"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La transferencia de documentos debe incluir lo siguiente: </w:t>
      </w:r>
    </w:p>
    <w:p w14:paraId="6608BA28" w14:textId="77777777" w:rsidR="001C6F68" w:rsidRPr="003F6CBD" w:rsidRDefault="001C6F68" w:rsidP="001C6F68">
      <w:pPr>
        <w:numPr>
          <w:ilvl w:val="0"/>
          <w:numId w:val="35"/>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Un inventario documental en físico y en medio electrónico de las Series y Subseries documentales.</w:t>
      </w:r>
    </w:p>
    <w:p w14:paraId="77DA7528" w14:textId="77777777" w:rsidR="001C6F68" w:rsidRDefault="001C6F68" w:rsidP="001C6F68">
      <w:pPr>
        <w:numPr>
          <w:ilvl w:val="0"/>
          <w:numId w:val="35"/>
        </w:numPr>
        <w:tabs>
          <w:tab w:val="left" w:pos="5057"/>
        </w:tabs>
        <w:spacing w:after="0" w:line="360" w:lineRule="auto"/>
        <w:contextualSpacing/>
        <w:jc w:val="both"/>
        <w:rPr>
          <w:rFonts w:ascii="Tahoma" w:hAnsi="Tahoma" w:cs="Tahoma"/>
          <w:sz w:val="24"/>
          <w:szCs w:val="24"/>
        </w:rPr>
      </w:pPr>
      <w:r w:rsidRPr="003F6CBD">
        <w:rPr>
          <w:rFonts w:ascii="Tahoma" w:hAnsi="Tahoma" w:cs="Tahoma"/>
          <w:sz w:val="24"/>
          <w:szCs w:val="24"/>
        </w:rPr>
        <w:t>La base de datos con la descripción de los documentos a trasferir, la cual deberá cumplir con la Norma Internacional para la Descripción Archivística – ISAD (G).</w:t>
      </w:r>
    </w:p>
    <w:p w14:paraId="12CD7D90" w14:textId="77777777" w:rsidR="001C6F68" w:rsidRPr="003F6CBD" w:rsidRDefault="001C6F68" w:rsidP="001C6F68">
      <w:pPr>
        <w:tabs>
          <w:tab w:val="left" w:pos="5057"/>
        </w:tabs>
        <w:spacing w:after="0" w:line="360" w:lineRule="auto"/>
        <w:ind w:left="360"/>
        <w:contextualSpacing/>
        <w:jc w:val="both"/>
        <w:rPr>
          <w:rFonts w:ascii="Tahoma" w:hAnsi="Tahoma" w:cs="Tahoma"/>
          <w:sz w:val="24"/>
          <w:szCs w:val="24"/>
        </w:rPr>
      </w:pPr>
    </w:p>
    <w:p w14:paraId="7056C4DE" w14:textId="77777777" w:rsidR="00B61927" w:rsidRPr="00B037F7" w:rsidRDefault="001C6F68" w:rsidP="001C6F68">
      <w:pPr>
        <w:pStyle w:val="Default"/>
        <w:spacing w:line="360" w:lineRule="auto"/>
        <w:jc w:val="both"/>
        <w:rPr>
          <w:rFonts w:ascii="Tahoma" w:hAnsi="Tahoma" w:cs="Tahoma"/>
        </w:rPr>
      </w:pPr>
      <w:r w:rsidRPr="003F6CBD">
        <w:rPr>
          <w:rFonts w:ascii="Tahoma" w:hAnsi="Tahoma" w:cs="Tahoma"/>
        </w:rPr>
        <w:t xml:space="preserve">Como constancia de la transferencia se levantará un acta firmada por el Comité Institucional de Gestión y Desempeño y jefes o coordinadores de dependencia y se adjuntará el Formato Único de Inventario Documental.  </w:t>
      </w:r>
    </w:p>
    <w:p w14:paraId="4BCB6465" w14:textId="77777777" w:rsidR="001C6F68" w:rsidRDefault="001C6F68" w:rsidP="001C6F68">
      <w:pPr>
        <w:pStyle w:val="Default"/>
        <w:spacing w:line="360" w:lineRule="auto"/>
        <w:jc w:val="both"/>
        <w:rPr>
          <w:rFonts w:ascii="Tahoma" w:hAnsi="Tahoma" w:cs="Tahoma"/>
        </w:rPr>
      </w:pPr>
    </w:p>
    <w:p w14:paraId="54D75852" w14:textId="77777777" w:rsidR="001C6F68" w:rsidRDefault="001C6F68" w:rsidP="001C6F68">
      <w:pPr>
        <w:pStyle w:val="Default"/>
        <w:spacing w:line="360" w:lineRule="auto"/>
        <w:jc w:val="both"/>
        <w:rPr>
          <w:rFonts w:ascii="Tahoma" w:hAnsi="Tahoma" w:cs="Tahoma"/>
        </w:rPr>
      </w:pPr>
    </w:p>
    <w:p w14:paraId="646435A0" w14:textId="77777777" w:rsidR="001C6F68" w:rsidRPr="009A0F46" w:rsidRDefault="001C6F68" w:rsidP="009A0F46">
      <w:pPr>
        <w:pStyle w:val="Prrafodelista"/>
        <w:numPr>
          <w:ilvl w:val="1"/>
          <w:numId w:val="33"/>
        </w:numPr>
        <w:tabs>
          <w:tab w:val="left" w:pos="5057"/>
        </w:tabs>
        <w:spacing w:after="0" w:line="360" w:lineRule="auto"/>
        <w:jc w:val="both"/>
        <w:outlineLvl w:val="0"/>
        <w:rPr>
          <w:rFonts w:ascii="Tahoma" w:hAnsi="Tahoma" w:cs="Tahoma"/>
          <w:b/>
          <w:sz w:val="24"/>
          <w:szCs w:val="24"/>
        </w:rPr>
      </w:pPr>
      <w:bookmarkStart w:id="9" w:name="_Toc47341105"/>
      <w:r w:rsidRPr="009A0F46">
        <w:rPr>
          <w:rFonts w:ascii="Tahoma" w:hAnsi="Tahoma" w:cs="Tahoma"/>
          <w:b/>
          <w:sz w:val="24"/>
          <w:szCs w:val="24"/>
        </w:rPr>
        <w:t>Consulta y préstamo de documentos</w:t>
      </w:r>
      <w:bookmarkEnd w:id="9"/>
      <w:r w:rsidRPr="009A0F46">
        <w:rPr>
          <w:rFonts w:ascii="Tahoma" w:hAnsi="Tahoma" w:cs="Tahoma"/>
          <w:b/>
          <w:sz w:val="24"/>
          <w:szCs w:val="24"/>
        </w:rPr>
        <w:t xml:space="preserve"> </w:t>
      </w:r>
    </w:p>
    <w:p w14:paraId="736A3448"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lastRenderedPageBreak/>
        <w:t>La consulta de documentos en los Archivos de Gestión y Central, por parte de funcionarios de otras dependencias o de los ciudadanos, es un derecho fundamental; por ello se debe facilitar el acceso a los mismos, con los controles correspondientes.</w:t>
      </w:r>
    </w:p>
    <w:p w14:paraId="4C64A358"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Cuando el interesado desee que se le expidan copias, estas deberán ser autorizadas por el jefe de la dependencia respectiva y solo se permitirá cuando la información no sea de carácter reservado.</w:t>
      </w:r>
    </w:p>
    <w:p w14:paraId="4BDB441B"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Con el fin de tener control de la consulta y préstamo de documentos, el funcionario responsable del archivo debe garantizar el diligenciamiento completo del formato </w:t>
      </w:r>
      <w:r w:rsidRPr="003F6CBD">
        <w:rPr>
          <w:rFonts w:ascii="Tahoma" w:hAnsi="Tahoma" w:cs="Tahoma"/>
          <w:b/>
          <w:sz w:val="24"/>
          <w:szCs w:val="24"/>
        </w:rPr>
        <w:t>“Préstamo de documentos”.</w:t>
      </w:r>
      <w:r w:rsidRPr="003F6CBD">
        <w:rPr>
          <w:rFonts w:ascii="Tahoma" w:hAnsi="Tahoma" w:cs="Tahoma"/>
          <w:sz w:val="24"/>
          <w:szCs w:val="24"/>
        </w:rPr>
        <w:t xml:space="preserve"> </w:t>
      </w:r>
    </w:p>
    <w:p w14:paraId="35D0912F"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El diligenciamiento del formato se debe realizar cada vez que se consulte y/o se preste un expediente y se debe hacer seguimiento a la devolución de los expedientes en préstamo.</w:t>
      </w:r>
    </w:p>
    <w:p w14:paraId="1D5E7598" w14:textId="77777777" w:rsidR="001C6F68" w:rsidRPr="003F6CBD"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El préstamo de documentos será por dos (2) días hábiles y cada usuario se responsabilizará por el cuidado y entrega de los documentos en las fechas indicadas. El responsable de la custodia y préstamo del documento debe velar por su devolución. Para el caso del proceso de Auditor a cargo de la Oficina Asesora de Control Interno, el plazo dependerá del cronograma de ejecución de la auditoría. </w:t>
      </w:r>
    </w:p>
    <w:p w14:paraId="4BD20090" w14:textId="77777777" w:rsidR="001C6F68" w:rsidRDefault="001C6F68" w:rsidP="001C6F68">
      <w:pPr>
        <w:tabs>
          <w:tab w:val="left" w:pos="5057"/>
        </w:tabs>
        <w:spacing w:line="360" w:lineRule="auto"/>
        <w:jc w:val="both"/>
        <w:rPr>
          <w:rFonts w:ascii="Tahoma" w:hAnsi="Tahoma" w:cs="Tahoma"/>
          <w:sz w:val="24"/>
          <w:szCs w:val="24"/>
        </w:rPr>
      </w:pPr>
      <w:r w:rsidRPr="003F6CBD">
        <w:rPr>
          <w:rFonts w:ascii="Tahoma" w:hAnsi="Tahoma" w:cs="Tahoma"/>
          <w:sz w:val="24"/>
          <w:szCs w:val="24"/>
        </w:rPr>
        <w:t xml:space="preserve">En caso de presentarse la necesidad de reconstrucción de expedientes por pérdida o hurto, se procede de conformidad a lo establecido en el Acuerdo 007 de 2013, emitido por el Archivo General de la Nación. </w:t>
      </w:r>
    </w:p>
    <w:p w14:paraId="526C84EE" w14:textId="77777777" w:rsidR="001F4F79" w:rsidRDefault="001F4F79" w:rsidP="001C6F68">
      <w:pPr>
        <w:tabs>
          <w:tab w:val="left" w:pos="5057"/>
        </w:tabs>
        <w:spacing w:line="360" w:lineRule="auto"/>
        <w:jc w:val="both"/>
        <w:rPr>
          <w:rFonts w:ascii="Tahoma" w:hAnsi="Tahoma" w:cs="Tahoma"/>
          <w:sz w:val="24"/>
          <w:szCs w:val="24"/>
        </w:rPr>
      </w:pPr>
    </w:p>
    <w:p w14:paraId="28347887" w14:textId="77777777" w:rsidR="002D509C" w:rsidRPr="009A0F46" w:rsidRDefault="002D509C" w:rsidP="009A0F46">
      <w:pPr>
        <w:pStyle w:val="Prrafodelista"/>
        <w:numPr>
          <w:ilvl w:val="0"/>
          <w:numId w:val="2"/>
        </w:numPr>
        <w:spacing w:after="160" w:line="360" w:lineRule="auto"/>
        <w:rPr>
          <w:rFonts w:ascii="Tahoma" w:hAnsi="Tahoma" w:cs="Tahoma"/>
          <w:b/>
          <w:bCs/>
          <w:sz w:val="24"/>
          <w:szCs w:val="24"/>
        </w:rPr>
      </w:pPr>
      <w:r w:rsidRPr="009A0F46">
        <w:rPr>
          <w:rFonts w:ascii="Tahoma" w:hAnsi="Tahoma" w:cs="Tahoma"/>
          <w:b/>
          <w:bCs/>
          <w:sz w:val="24"/>
          <w:szCs w:val="24"/>
        </w:rPr>
        <w:t>DOCUMENTOS DE REFERENCIA</w:t>
      </w:r>
    </w:p>
    <w:p w14:paraId="00009343" w14:textId="77777777" w:rsidR="002D509C" w:rsidRPr="00B037F7" w:rsidRDefault="002D509C" w:rsidP="00FF3425">
      <w:pPr>
        <w:pStyle w:val="Prrafodelista"/>
        <w:spacing w:after="160" w:line="360" w:lineRule="auto"/>
        <w:ind w:left="786"/>
        <w:rPr>
          <w:rFonts w:ascii="Tahoma" w:hAnsi="Tahoma" w:cs="Tahoma"/>
          <w:b/>
          <w:bCs/>
          <w:sz w:val="24"/>
          <w:szCs w:val="24"/>
        </w:rPr>
      </w:pPr>
    </w:p>
    <w:p w14:paraId="311E1801" w14:textId="77777777" w:rsidR="009A0F46" w:rsidRDefault="009A0F46" w:rsidP="00FF3425">
      <w:pPr>
        <w:pStyle w:val="Prrafodelista"/>
        <w:numPr>
          <w:ilvl w:val="0"/>
          <w:numId w:val="9"/>
        </w:numPr>
        <w:spacing w:after="160" w:line="360" w:lineRule="auto"/>
        <w:rPr>
          <w:rFonts w:ascii="Tahoma" w:hAnsi="Tahoma" w:cs="Tahoma"/>
          <w:sz w:val="24"/>
          <w:szCs w:val="24"/>
        </w:rPr>
      </w:pPr>
      <w:r>
        <w:rPr>
          <w:rFonts w:ascii="Tahoma" w:hAnsi="Tahoma" w:cs="Tahoma"/>
          <w:sz w:val="24"/>
          <w:szCs w:val="24"/>
        </w:rPr>
        <w:t>Ley 80 de 1989 – Por medio de la cual se crea el Archivo General de la Nación.</w:t>
      </w:r>
    </w:p>
    <w:p w14:paraId="6A8BADB6" w14:textId="77777777" w:rsidR="0060471E" w:rsidRPr="00B037F7" w:rsidRDefault="009A0F46" w:rsidP="00FF3425">
      <w:pPr>
        <w:pStyle w:val="Prrafodelista"/>
        <w:numPr>
          <w:ilvl w:val="0"/>
          <w:numId w:val="9"/>
        </w:numPr>
        <w:spacing w:after="160" w:line="360" w:lineRule="auto"/>
        <w:rPr>
          <w:rFonts w:ascii="Tahoma" w:hAnsi="Tahoma" w:cs="Tahoma"/>
          <w:sz w:val="24"/>
          <w:szCs w:val="24"/>
        </w:rPr>
      </w:pPr>
      <w:r>
        <w:rPr>
          <w:rFonts w:ascii="Tahoma" w:eastAsia="Times New Roman" w:hAnsi="Tahoma" w:cs="Tahoma"/>
          <w:color w:val="000000"/>
          <w:sz w:val="24"/>
          <w:szCs w:val="24"/>
          <w:lang w:val="es-ES" w:eastAsia="es-CO"/>
        </w:rPr>
        <w:t>Ley 594 de 2000 – Ley General de Archivos</w:t>
      </w:r>
    </w:p>
    <w:p w14:paraId="0B941475" w14:textId="77777777" w:rsidR="0060471E" w:rsidRDefault="0060471E" w:rsidP="00FF3425">
      <w:pPr>
        <w:pStyle w:val="Prrafodelista"/>
        <w:numPr>
          <w:ilvl w:val="0"/>
          <w:numId w:val="9"/>
        </w:numPr>
        <w:spacing w:after="160" w:line="360" w:lineRule="auto"/>
        <w:rPr>
          <w:rFonts w:ascii="Tahoma" w:hAnsi="Tahoma" w:cs="Tahoma"/>
          <w:sz w:val="24"/>
          <w:szCs w:val="24"/>
        </w:rPr>
      </w:pPr>
      <w:r w:rsidRPr="00B037F7">
        <w:rPr>
          <w:rFonts w:ascii="Tahoma" w:hAnsi="Tahoma" w:cs="Tahoma"/>
          <w:sz w:val="24"/>
          <w:szCs w:val="24"/>
        </w:rPr>
        <w:t xml:space="preserve">Decreto </w:t>
      </w:r>
      <w:r w:rsidR="009A0F46">
        <w:rPr>
          <w:rFonts w:ascii="Tahoma" w:hAnsi="Tahoma" w:cs="Tahoma"/>
          <w:sz w:val="24"/>
          <w:szCs w:val="24"/>
        </w:rPr>
        <w:t>1080 de 2015 – Por medio de la cual se expide el Decreto Único Reglamentario del S</w:t>
      </w:r>
      <w:r w:rsidR="003C53F8">
        <w:rPr>
          <w:rFonts w:ascii="Tahoma" w:hAnsi="Tahoma" w:cs="Tahoma"/>
          <w:sz w:val="24"/>
          <w:szCs w:val="24"/>
        </w:rPr>
        <w:t>e</w:t>
      </w:r>
      <w:r w:rsidR="009A0F46">
        <w:rPr>
          <w:rFonts w:ascii="Tahoma" w:hAnsi="Tahoma" w:cs="Tahoma"/>
          <w:sz w:val="24"/>
          <w:szCs w:val="24"/>
        </w:rPr>
        <w:t>c</w:t>
      </w:r>
      <w:r w:rsidR="003C53F8">
        <w:rPr>
          <w:rFonts w:ascii="Tahoma" w:hAnsi="Tahoma" w:cs="Tahoma"/>
          <w:sz w:val="24"/>
          <w:szCs w:val="24"/>
        </w:rPr>
        <w:t>tor Cultura.</w:t>
      </w:r>
    </w:p>
    <w:p w14:paraId="35837E4F" w14:textId="6A38E083" w:rsidR="00000EE6" w:rsidRPr="00DF0F46" w:rsidRDefault="003C53F8" w:rsidP="00DF0F46">
      <w:pPr>
        <w:pStyle w:val="Prrafodelista"/>
        <w:numPr>
          <w:ilvl w:val="0"/>
          <w:numId w:val="9"/>
        </w:numPr>
        <w:spacing w:after="160" w:line="360" w:lineRule="auto"/>
        <w:rPr>
          <w:rFonts w:ascii="Tahoma" w:hAnsi="Tahoma" w:cs="Tahoma"/>
          <w:sz w:val="24"/>
          <w:szCs w:val="24"/>
        </w:rPr>
      </w:pPr>
      <w:r>
        <w:rPr>
          <w:rFonts w:ascii="Tahoma" w:hAnsi="Tahoma" w:cs="Tahoma"/>
          <w:sz w:val="24"/>
          <w:szCs w:val="24"/>
        </w:rPr>
        <w:t>Acuerdo 001 de 2024 – Por medio de la cual se establece el Acuerdo Único de la Función Archivística. Capítulo 4 Articulo 4.4.1</w:t>
      </w:r>
    </w:p>
    <w:p w14:paraId="120F0BB3" w14:textId="77777777" w:rsidR="00000EE6" w:rsidRPr="00B037F7" w:rsidRDefault="00000EE6" w:rsidP="00FF3425">
      <w:pPr>
        <w:pStyle w:val="Prrafodelista"/>
        <w:spacing w:after="160" w:line="360" w:lineRule="auto"/>
        <w:rPr>
          <w:rFonts w:ascii="Tahoma" w:hAnsi="Tahoma" w:cs="Tahoma"/>
          <w:sz w:val="24"/>
          <w:szCs w:val="24"/>
        </w:rPr>
      </w:pPr>
    </w:p>
    <w:p w14:paraId="12DBB6FF" w14:textId="77777777" w:rsidR="00496E3D" w:rsidRPr="00F67294" w:rsidRDefault="00496E3D" w:rsidP="00496E3D">
      <w:pPr>
        <w:spacing w:line="360" w:lineRule="auto"/>
        <w:jc w:val="both"/>
        <w:rPr>
          <w:rFonts w:ascii="Tahoma" w:hAnsi="Tahoma" w:cs="Tahoma"/>
          <w:b/>
          <w:bCs/>
          <w:sz w:val="24"/>
          <w:szCs w:val="24"/>
        </w:rPr>
      </w:pPr>
      <w:bookmarkStart w:id="10" w:name="_Hlk230677644"/>
      <w:r w:rsidRPr="00F67294">
        <w:rPr>
          <w:rFonts w:ascii="Tahoma" w:hAnsi="Tahoma" w:cs="Tahoma"/>
          <w:b/>
          <w:bCs/>
          <w:sz w:val="24"/>
          <w:szCs w:val="24"/>
        </w:rPr>
        <w:t>CONTROL DEL DOCUMENTO</w:t>
      </w:r>
    </w:p>
    <w:tbl>
      <w:tblPr>
        <w:tblStyle w:val="Tablaconcuadrcula"/>
        <w:tblW w:w="9357" w:type="dxa"/>
        <w:tblInd w:w="-431" w:type="dxa"/>
        <w:tblLook w:val="04A0" w:firstRow="1" w:lastRow="0" w:firstColumn="1" w:lastColumn="0" w:noHBand="0" w:noVBand="1"/>
      </w:tblPr>
      <w:tblGrid>
        <w:gridCol w:w="1702"/>
        <w:gridCol w:w="3402"/>
        <w:gridCol w:w="4253"/>
      </w:tblGrid>
      <w:tr w:rsidR="00496E3D" w14:paraId="03334414" w14:textId="77777777" w:rsidTr="007C545E">
        <w:tc>
          <w:tcPr>
            <w:tcW w:w="1702" w:type="dxa"/>
          </w:tcPr>
          <w:p w14:paraId="12080B0A" w14:textId="77777777" w:rsidR="00496E3D" w:rsidRDefault="00496E3D" w:rsidP="007C545E">
            <w:pPr>
              <w:spacing w:line="360" w:lineRule="auto"/>
              <w:jc w:val="both"/>
              <w:rPr>
                <w:rFonts w:ascii="Tahoma" w:hAnsi="Tahoma" w:cs="Tahoma"/>
                <w:sz w:val="24"/>
                <w:szCs w:val="24"/>
              </w:rPr>
            </w:pPr>
          </w:p>
        </w:tc>
        <w:tc>
          <w:tcPr>
            <w:tcW w:w="3402" w:type="dxa"/>
          </w:tcPr>
          <w:p w14:paraId="599C2D29" w14:textId="77777777" w:rsidR="00496E3D" w:rsidRPr="00973376" w:rsidRDefault="00496E3D" w:rsidP="007C545E">
            <w:pPr>
              <w:spacing w:line="360" w:lineRule="auto"/>
              <w:jc w:val="center"/>
              <w:rPr>
                <w:rFonts w:ascii="Tahoma" w:hAnsi="Tahoma" w:cs="Tahoma"/>
                <w:b/>
                <w:bCs/>
                <w:sz w:val="24"/>
                <w:szCs w:val="24"/>
              </w:rPr>
            </w:pPr>
            <w:r w:rsidRPr="00973376">
              <w:rPr>
                <w:rFonts w:ascii="Tahoma" w:hAnsi="Tahoma" w:cs="Tahoma"/>
                <w:b/>
                <w:bCs/>
                <w:sz w:val="24"/>
                <w:szCs w:val="24"/>
              </w:rPr>
              <w:t>NOMBRE</w:t>
            </w:r>
          </w:p>
        </w:tc>
        <w:tc>
          <w:tcPr>
            <w:tcW w:w="4253" w:type="dxa"/>
          </w:tcPr>
          <w:p w14:paraId="577D7661" w14:textId="77777777" w:rsidR="00496E3D" w:rsidRPr="00973376" w:rsidRDefault="00496E3D" w:rsidP="007C545E">
            <w:pPr>
              <w:spacing w:line="360" w:lineRule="auto"/>
              <w:jc w:val="center"/>
              <w:rPr>
                <w:rFonts w:ascii="Tahoma" w:hAnsi="Tahoma" w:cs="Tahoma"/>
                <w:b/>
                <w:bCs/>
                <w:sz w:val="24"/>
                <w:szCs w:val="24"/>
              </w:rPr>
            </w:pPr>
            <w:r w:rsidRPr="00973376">
              <w:rPr>
                <w:rFonts w:ascii="Tahoma" w:hAnsi="Tahoma" w:cs="Tahoma"/>
                <w:b/>
                <w:bCs/>
                <w:sz w:val="24"/>
                <w:szCs w:val="24"/>
              </w:rPr>
              <w:t>CARGO</w:t>
            </w:r>
          </w:p>
        </w:tc>
      </w:tr>
      <w:tr w:rsidR="00496E3D" w14:paraId="756F9B14" w14:textId="77777777" w:rsidTr="007C545E">
        <w:tc>
          <w:tcPr>
            <w:tcW w:w="1702" w:type="dxa"/>
          </w:tcPr>
          <w:p w14:paraId="60C768C3" w14:textId="77777777" w:rsidR="00496E3D" w:rsidRPr="00973376" w:rsidRDefault="00496E3D" w:rsidP="007C545E">
            <w:pPr>
              <w:spacing w:line="360" w:lineRule="auto"/>
              <w:jc w:val="both"/>
              <w:rPr>
                <w:rFonts w:ascii="Tahoma" w:hAnsi="Tahoma" w:cs="Tahoma"/>
                <w:b/>
                <w:bCs/>
                <w:sz w:val="24"/>
                <w:szCs w:val="24"/>
              </w:rPr>
            </w:pPr>
            <w:r w:rsidRPr="00973376">
              <w:rPr>
                <w:rFonts w:ascii="Tahoma" w:hAnsi="Tahoma" w:cs="Tahoma"/>
                <w:b/>
                <w:bCs/>
                <w:sz w:val="24"/>
                <w:szCs w:val="24"/>
              </w:rPr>
              <w:t>Elaboró</w:t>
            </w:r>
          </w:p>
        </w:tc>
        <w:tc>
          <w:tcPr>
            <w:tcW w:w="3402" w:type="dxa"/>
          </w:tcPr>
          <w:p w14:paraId="5D0AF534" w14:textId="77777777" w:rsidR="00496E3D" w:rsidRDefault="00496E3D" w:rsidP="007C545E">
            <w:pPr>
              <w:spacing w:line="360" w:lineRule="auto"/>
              <w:jc w:val="both"/>
              <w:rPr>
                <w:rFonts w:ascii="Tahoma" w:hAnsi="Tahoma" w:cs="Tahoma"/>
                <w:sz w:val="24"/>
                <w:szCs w:val="24"/>
              </w:rPr>
            </w:pPr>
            <w:r w:rsidRPr="00F67294">
              <w:rPr>
                <w:rFonts w:ascii="Tahoma" w:hAnsi="Tahoma" w:cs="Tahoma"/>
                <w:sz w:val="24"/>
                <w:szCs w:val="24"/>
              </w:rPr>
              <w:t>Diana Lorena Uribe Penagos</w:t>
            </w:r>
          </w:p>
        </w:tc>
        <w:tc>
          <w:tcPr>
            <w:tcW w:w="4253" w:type="dxa"/>
          </w:tcPr>
          <w:p w14:paraId="086DC01C" w14:textId="77777777" w:rsidR="00496E3D" w:rsidRDefault="00496E3D" w:rsidP="007C545E">
            <w:pPr>
              <w:spacing w:line="360" w:lineRule="auto"/>
              <w:jc w:val="both"/>
              <w:rPr>
                <w:rFonts w:ascii="Tahoma" w:hAnsi="Tahoma" w:cs="Tahoma"/>
                <w:sz w:val="24"/>
                <w:szCs w:val="24"/>
              </w:rPr>
            </w:pPr>
            <w:r>
              <w:rPr>
                <w:rFonts w:ascii="Tahoma" w:hAnsi="Tahoma" w:cs="Tahoma"/>
                <w:sz w:val="24"/>
                <w:szCs w:val="24"/>
              </w:rPr>
              <w:t>Contratista gestión de archivo</w:t>
            </w:r>
          </w:p>
        </w:tc>
      </w:tr>
      <w:tr w:rsidR="00496E3D" w14:paraId="4B902015" w14:textId="77777777" w:rsidTr="007C545E">
        <w:tc>
          <w:tcPr>
            <w:tcW w:w="1702" w:type="dxa"/>
          </w:tcPr>
          <w:p w14:paraId="559D5536" w14:textId="77777777" w:rsidR="00496E3D" w:rsidRPr="00973376" w:rsidRDefault="00496E3D" w:rsidP="007C545E">
            <w:pPr>
              <w:spacing w:line="360" w:lineRule="auto"/>
              <w:jc w:val="both"/>
              <w:rPr>
                <w:rFonts w:ascii="Tahoma" w:hAnsi="Tahoma" w:cs="Tahoma"/>
                <w:b/>
                <w:bCs/>
                <w:sz w:val="24"/>
                <w:szCs w:val="24"/>
              </w:rPr>
            </w:pPr>
            <w:r w:rsidRPr="00973376">
              <w:rPr>
                <w:rFonts w:ascii="Tahoma" w:hAnsi="Tahoma" w:cs="Tahoma"/>
                <w:b/>
                <w:bCs/>
                <w:sz w:val="24"/>
                <w:szCs w:val="24"/>
              </w:rPr>
              <w:t>Revisó</w:t>
            </w:r>
          </w:p>
        </w:tc>
        <w:tc>
          <w:tcPr>
            <w:tcW w:w="3402" w:type="dxa"/>
          </w:tcPr>
          <w:p w14:paraId="0FDAD7B4" w14:textId="77777777" w:rsidR="00496E3D" w:rsidRDefault="00496E3D" w:rsidP="007C545E">
            <w:pPr>
              <w:spacing w:line="360" w:lineRule="auto"/>
              <w:jc w:val="both"/>
              <w:rPr>
                <w:rFonts w:ascii="Tahoma" w:hAnsi="Tahoma" w:cs="Tahoma"/>
                <w:sz w:val="24"/>
                <w:szCs w:val="24"/>
              </w:rPr>
            </w:pPr>
            <w:r>
              <w:rPr>
                <w:rFonts w:ascii="Tahoma" w:hAnsi="Tahoma" w:cs="Tahoma"/>
                <w:sz w:val="24"/>
                <w:szCs w:val="24"/>
              </w:rPr>
              <w:t>Yuliana Ramos Cruz</w:t>
            </w:r>
          </w:p>
        </w:tc>
        <w:tc>
          <w:tcPr>
            <w:tcW w:w="4253" w:type="dxa"/>
          </w:tcPr>
          <w:p w14:paraId="5991DB1F" w14:textId="77777777" w:rsidR="00496E3D" w:rsidRDefault="00496E3D" w:rsidP="007C545E">
            <w:pPr>
              <w:spacing w:line="360" w:lineRule="auto"/>
              <w:jc w:val="both"/>
              <w:rPr>
                <w:rFonts w:ascii="Tahoma" w:hAnsi="Tahoma" w:cs="Tahoma"/>
                <w:sz w:val="24"/>
                <w:szCs w:val="24"/>
              </w:rPr>
            </w:pPr>
            <w:r>
              <w:rPr>
                <w:rFonts w:ascii="Tahoma" w:hAnsi="Tahoma" w:cs="Tahoma"/>
                <w:sz w:val="24"/>
                <w:szCs w:val="24"/>
              </w:rPr>
              <w:t>Jefe de oficina gestión administrativa</w:t>
            </w:r>
          </w:p>
        </w:tc>
      </w:tr>
      <w:tr w:rsidR="00496E3D" w14:paraId="3DA9106E" w14:textId="77777777" w:rsidTr="007C545E">
        <w:tc>
          <w:tcPr>
            <w:tcW w:w="1702" w:type="dxa"/>
          </w:tcPr>
          <w:p w14:paraId="732BAE13" w14:textId="77777777" w:rsidR="00496E3D" w:rsidRPr="00973376" w:rsidRDefault="00496E3D" w:rsidP="007C545E">
            <w:pPr>
              <w:spacing w:line="360" w:lineRule="auto"/>
              <w:jc w:val="both"/>
              <w:rPr>
                <w:rFonts w:ascii="Tahoma" w:hAnsi="Tahoma" w:cs="Tahoma"/>
                <w:b/>
                <w:bCs/>
                <w:sz w:val="24"/>
                <w:szCs w:val="24"/>
              </w:rPr>
            </w:pPr>
            <w:r w:rsidRPr="00973376">
              <w:rPr>
                <w:rFonts w:ascii="Tahoma" w:hAnsi="Tahoma" w:cs="Tahoma"/>
                <w:b/>
                <w:bCs/>
                <w:sz w:val="24"/>
                <w:szCs w:val="24"/>
              </w:rPr>
              <w:t>Aprobó</w:t>
            </w:r>
          </w:p>
        </w:tc>
        <w:tc>
          <w:tcPr>
            <w:tcW w:w="3402" w:type="dxa"/>
            <w:vAlign w:val="center"/>
          </w:tcPr>
          <w:p w14:paraId="6DC2170B" w14:textId="77777777" w:rsidR="00496E3D" w:rsidRDefault="00496E3D" w:rsidP="007C545E">
            <w:pPr>
              <w:spacing w:line="360" w:lineRule="auto"/>
              <w:jc w:val="both"/>
              <w:rPr>
                <w:rFonts w:ascii="Tahoma" w:hAnsi="Tahoma" w:cs="Tahoma"/>
                <w:sz w:val="24"/>
                <w:szCs w:val="24"/>
              </w:rPr>
            </w:pPr>
            <w:r w:rsidRPr="00002090">
              <w:rPr>
                <w:rFonts w:ascii="Tahoma" w:eastAsia="Times New Roman" w:hAnsi="Tahoma" w:cs="Tahoma"/>
                <w:color w:val="000000"/>
                <w:sz w:val="24"/>
                <w:szCs w:val="24"/>
                <w:lang w:eastAsia="es-CO"/>
              </w:rPr>
              <w:t>Felipe Andrés García Puerta</w:t>
            </w:r>
          </w:p>
        </w:tc>
        <w:tc>
          <w:tcPr>
            <w:tcW w:w="4253" w:type="dxa"/>
            <w:vAlign w:val="center"/>
          </w:tcPr>
          <w:p w14:paraId="49FB02D9" w14:textId="77777777" w:rsidR="00496E3D" w:rsidRDefault="00496E3D" w:rsidP="007C545E">
            <w:pPr>
              <w:spacing w:line="360" w:lineRule="auto"/>
              <w:jc w:val="both"/>
              <w:rPr>
                <w:rFonts w:ascii="Tahoma" w:hAnsi="Tahoma" w:cs="Tahoma"/>
                <w:sz w:val="24"/>
                <w:szCs w:val="24"/>
              </w:rPr>
            </w:pPr>
            <w:r w:rsidRPr="00002090">
              <w:rPr>
                <w:rFonts w:ascii="Tahoma" w:eastAsia="Times New Roman" w:hAnsi="Tahoma" w:cs="Tahoma"/>
                <w:color w:val="000000"/>
                <w:sz w:val="24"/>
                <w:szCs w:val="24"/>
                <w:lang w:eastAsia="es-CO"/>
              </w:rPr>
              <w:t>Subgerente Administrativa y Financiera </w:t>
            </w:r>
          </w:p>
        </w:tc>
      </w:tr>
    </w:tbl>
    <w:p w14:paraId="19E81E62" w14:textId="77777777" w:rsidR="00496E3D" w:rsidRPr="00F67294" w:rsidRDefault="00496E3D" w:rsidP="00496E3D">
      <w:pPr>
        <w:spacing w:line="360" w:lineRule="auto"/>
        <w:jc w:val="both"/>
        <w:rPr>
          <w:rFonts w:ascii="Tahoma" w:hAnsi="Tahoma" w:cs="Tahoma"/>
          <w:sz w:val="24"/>
          <w:szCs w:val="24"/>
        </w:rPr>
      </w:pPr>
    </w:p>
    <w:p w14:paraId="78E267F2" w14:textId="77777777" w:rsidR="00496E3D" w:rsidRPr="00F67294" w:rsidRDefault="00496E3D" w:rsidP="00496E3D">
      <w:pPr>
        <w:spacing w:after="0" w:line="360" w:lineRule="auto"/>
        <w:jc w:val="both"/>
        <w:rPr>
          <w:rFonts w:ascii="Tahoma" w:hAnsi="Tahoma" w:cs="Tahoma"/>
          <w:b/>
          <w:sz w:val="24"/>
          <w:szCs w:val="24"/>
        </w:rPr>
      </w:pPr>
      <w:r w:rsidRPr="00F67294">
        <w:rPr>
          <w:rFonts w:ascii="Tahoma" w:hAnsi="Tahoma" w:cs="Tahoma"/>
          <w:b/>
          <w:sz w:val="24"/>
          <w:szCs w:val="24"/>
        </w:rPr>
        <w:t xml:space="preserve">CONTROL DE CAMBIOS </w:t>
      </w:r>
    </w:p>
    <w:tbl>
      <w:tblPr>
        <w:tblW w:w="9782" w:type="dxa"/>
        <w:tblInd w:w="-431" w:type="dxa"/>
        <w:tblCellMar>
          <w:left w:w="70" w:type="dxa"/>
          <w:right w:w="70" w:type="dxa"/>
        </w:tblCellMar>
        <w:tblLook w:val="04A0" w:firstRow="1" w:lastRow="0" w:firstColumn="1" w:lastColumn="0" w:noHBand="0" w:noVBand="1"/>
      </w:tblPr>
      <w:tblGrid>
        <w:gridCol w:w="1919"/>
        <w:gridCol w:w="1559"/>
        <w:gridCol w:w="6304"/>
      </w:tblGrid>
      <w:tr w:rsidR="00496E3D" w:rsidRPr="00002090" w14:paraId="706073D5" w14:textId="77777777" w:rsidTr="00496E3D">
        <w:trPr>
          <w:trHeight w:val="336"/>
        </w:trPr>
        <w:tc>
          <w:tcPr>
            <w:tcW w:w="1919" w:type="dxa"/>
            <w:tcBorders>
              <w:top w:val="single" w:sz="4" w:space="0" w:color="auto"/>
              <w:left w:val="single" w:sz="4" w:space="0" w:color="auto"/>
              <w:bottom w:val="single" w:sz="4" w:space="0" w:color="auto"/>
              <w:right w:val="single" w:sz="4" w:space="0" w:color="auto"/>
            </w:tcBorders>
            <w:vAlign w:val="center"/>
            <w:hideMark/>
          </w:tcPr>
          <w:p w14:paraId="20BAA0A8" w14:textId="77777777" w:rsidR="00496E3D" w:rsidRPr="00002090" w:rsidRDefault="00496E3D" w:rsidP="007C545E">
            <w:pPr>
              <w:spacing w:after="0" w:line="360" w:lineRule="auto"/>
              <w:ind w:left="-142" w:firstLine="142"/>
              <w:jc w:val="center"/>
              <w:rPr>
                <w:rFonts w:ascii="Tahoma" w:hAnsi="Tahoma" w:cs="Tahoma"/>
                <w:b/>
                <w:bCs/>
                <w:sz w:val="24"/>
                <w:szCs w:val="24"/>
              </w:rPr>
            </w:pPr>
            <w:r w:rsidRPr="00002090">
              <w:rPr>
                <w:rFonts w:ascii="Tahoma" w:hAnsi="Tahoma" w:cs="Tahoma"/>
                <w:b/>
                <w:bCs/>
                <w:sz w:val="24"/>
                <w:szCs w:val="24"/>
              </w:rPr>
              <w:t>F</w:t>
            </w:r>
            <w:r>
              <w:rPr>
                <w:rFonts w:ascii="Tahoma" w:hAnsi="Tahoma" w:cs="Tahoma"/>
                <w:b/>
                <w:bCs/>
                <w:sz w:val="24"/>
                <w:szCs w:val="24"/>
              </w:rPr>
              <w:t>ECHA</w:t>
            </w:r>
          </w:p>
        </w:tc>
        <w:tc>
          <w:tcPr>
            <w:tcW w:w="1559" w:type="dxa"/>
            <w:tcBorders>
              <w:top w:val="single" w:sz="4" w:space="0" w:color="auto"/>
              <w:left w:val="nil"/>
              <w:bottom w:val="single" w:sz="4" w:space="0" w:color="auto"/>
              <w:right w:val="single" w:sz="4" w:space="0" w:color="auto"/>
            </w:tcBorders>
            <w:vAlign w:val="center"/>
            <w:hideMark/>
          </w:tcPr>
          <w:p w14:paraId="32B21CAE" w14:textId="77777777" w:rsidR="00496E3D" w:rsidRPr="00002090" w:rsidRDefault="00496E3D" w:rsidP="007C545E">
            <w:pPr>
              <w:spacing w:after="0" w:line="360" w:lineRule="auto"/>
              <w:ind w:left="-142" w:firstLine="225"/>
              <w:jc w:val="center"/>
              <w:rPr>
                <w:rFonts w:ascii="Tahoma" w:hAnsi="Tahoma" w:cs="Tahoma"/>
                <w:b/>
                <w:bCs/>
                <w:sz w:val="24"/>
                <w:szCs w:val="24"/>
              </w:rPr>
            </w:pPr>
            <w:r>
              <w:rPr>
                <w:rFonts w:ascii="Tahoma" w:hAnsi="Tahoma" w:cs="Tahoma"/>
                <w:b/>
                <w:bCs/>
                <w:sz w:val="24"/>
                <w:szCs w:val="24"/>
              </w:rPr>
              <w:t>VERSIÓN</w:t>
            </w:r>
          </w:p>
        </w:tc>
        <w:tc>
          <w:tcPr>
            <w:tcW w:w="6304" w:type="dxa"/>
            <w:tcBorders>
              <w:top w:val="single" w:sz="4" w:space="0" w:color="auto"/>
              <w:left w:val="nil"/>
              <w:bottom w:val="single" w:sz="4" w:space="0" w:color="auto"/>
              <w:right w:val="single" w:sz="4" w:space="0" w:color="auto"/>
            </w:tcBorders>
            <w:vAlign w:val="center"/>
            <w:hideMark/>
          </w:tcPr>
          <w:p w14:paraId="76031C45" w14:textId="77777777" w:rsidR="00496E3D" w:rsidRPr="00002090" w:rsidRDefault="00496E3D" w:rsidP="007C545E">
            <w:pPr>
              <w:spacing w:after="0" w:line="360" w:lineRule="auto"/>
              <w:ind w:right="72"/>
              <w:jc w:val="center"/>
              <w:rPr>
                <w:rFonts w:ascii="Tahoma" w:hAnsi="Tahoma" w:cs="Tahoma"/>
                <w:b/>
                <w:bCs/>
                <w:sz w:val="24"/>
                <w:szCs w:val="24"/>
              </w:rPr>
            </w:pPr>
            <w:r w:rsidRPr="00002090">
              <w:rPr>
                <w:rFonts w:ascii="Tahoma" w:hAnsi="Tahoma" w:cs="Tahoma"/>
                <w:b/>
                <w:bCs/>
                <w:sz w:val="24"/>
                <w:szCs w:val="24"/>
              </w:rPr>
              <w:t>DESCRIPCIÓN DEL CAMBIO</w:t>
            </w:r>
          </w:p>
        </w:tc>
      </w:tr>
      <w:tr w:rsidR="00496E3D" w:rsidRPr="00002090" w14:paraId="5335A91C" w14:textId="77777777" w:rsidTr="00496E3D">
        <w:trPr>
          <w:trHeight w:val="527"/>
        </w:trPr>
        <w:tc>
          <w:tcPr>
            <w:tcW w:w="1919" w:type="dxa"/>
            <w:tcBorders>
              <w:top w:val="single" w:sz="4" w:space="0" w:color="auto"/>
              <w:left w:val="single" w:sz="4" w:space="0" w:color="auto"/>
              <w:bottom w:val="single" w:sz="4" w:space="0" w:color="auto"/>
              <w:right w:val="single" w:sz="4" w:space="0" w:color="auto"/>
            </w:tcBorders>
            <w:vAlign w:val="center"/>
            <w:hideMark/>
          </w:tcPr>
          <w:p w14:paraId="3F489A74" w14:textId="77777777" w:rsidR="00496E3D" w:rsidRPr="00002090" w:rsidRDefault="00496E3D" w:rsidP="007C545E">
            <w:pPr>
              <w:spacing w:after="0" w:line="360" w:lineRule="auto"/>
              <w:ind w:left="-142" w:firstLine="142"/>
              <w:jc w:val="both"/>
              <w:rPr>
                <w:rFonts w:ascii="Tahoma" w:hAnsi="Tahoma" w:cs="Tahoma"/>
                <w:sz w:val="24"/>
                <w:szCs w:val="24"/>
              </w:rPr>
            </w:pPr>
            <w:r w:rsidRPr="00F67294">
              <w:rPr>
                <w:rFonts w:ascii="Tahoma" w:hAnsi="Tahoma" w:cs="Tahoma"/>
                <w:sz w:val="24"/>
                <w:szCs w:val="24"/>
              </w:rPr>
              <w:t>15/05/2023</w:t>
            </w:r>
          </w:p>
        </w:tc>
        <w:tc>
          <w:tcPr>
            <w:tcW w:w="1559" w:type="dxa"/>
            <w:tcBorders>
              <w:top w:val="single" w:sz="4" w:space="0" w:color="auto"/>
              <w:left w:val="nil"/>
              <w:bottom w:val="single" w:sz="4" w:space="0" w:color="auto"/>
              <w:right w:val="single" w:sz="4" w:space="0" w:color="auto"/>
            </w:tcBorders>
            <w:vAlign w:val="center"/>
            <w:hideMark/>
          </w:tcPr>
          <w:p w14:paraId="5F5A3984" w14:textId="77777777" w:rsidR="00496E3D" w:rsidRPr="00002090" w:rsidRDefault="00496E3D" w:rsidP="007C545E">
            <w:pPr>
              <w:spacing w:after="0" w:line="360" w:lineRule="auto"/>
              <w:ind w:left="-142" w:firstLine="225"/>
              <w:jc w:val="center"/>
              <w:rPr>
                <w:rFonts w:ascii="Tahoma" w:hAnsi="Tahoma" w:cs="Tahoma"/>
                <w:sz w:val="24"/>
                <w:szCs w:val="24"/>
              </w:rPr>
            </w:pPr>
            <w:r>
              <w:rPr>
                <w:rFonts w:ascii="Tahoma" w:hAnsi="Tahoma" w:cs="Tahoma"/>
                <w:sz w:val="24"/>
                <w:szCs w:val="24"/>
              </w:rPr>
              <w:t>V1</w:t>
            </w:r>
          </w:p>
        </w:tc>
        <w:tc>
          <w:tcPr>
            <w:tcW w:w="6304" w:type="dxa"/>
            <w:tcBorders>
              <w:top w:val="single" w:sz="4" w:space="0" w:color="auto"/>
              <w:left w:val="nil"/>
              <w:bottom w:val="single" w:sz="4" w:space="0" w:color="auto"/>
              <w:right w:val="single" w:sz="4" w:space="0" w:color="auto"/>
            </w:tcBorders>
            <w:vAlign w:val="center"/>
            <w:hideMark/>
          </w:tcPr>
          <w:p w14:paraId="235D73F1" w14:textId="4CFDE5F3" w:rsidR="00496E3D" w:rsidRPr="00F67294" w:rsidRDefault="00496E3D" w:rsidP="007C545E">
            <w:pPr>
              <w:spacing w:after="0" w:line="360" w:lineRule="auto"/>
              <w:ind w:right="72"/>
              <w:jc w:val="both"/>
              <w:rPr>
                <w:rFonts w:ascii="Tahoma" w:hAnsi="Tahoma" w:cs="Tahoma"/>
                <w:sz w:val="24"/>
                <w:szCs w:val="24"/>
              </w:rPr>
            </w:pPr>
            <w:r>
              <w:rPr>
                <w:rFonts w:ascii="Tahoma" w:hAnsi="Tahoma" w:cs="Tahoma"/>
                <w:sz w:val="24"/>
                <w:szCs w:val="24"/>
              </w:rPr>
              <w:t xml:space="preserve">Creación del </w:t>
            </w:r>
            <w:r w:rsidRPr="00496E3D">
              <w:rPr>
                <w:rFonts w:ascii="Tahoma" w:hAnsi="Tahoma" w:cs="Tahoma"/>
                <w:i/>
                <w:iCs/>
                <w:sz w:val="24"/>
                <w:szCs w:val="24"/>
              </w:rPr>
              <w:t>MANUAL DE PROCEDIMIENTO DEL ARCHIVO CENTRAL</w:t>
            </w:r>
            <w:r>
              <w:rPr>
                <w:rFonts w:ascii="Tahoma" w:hAnsi="Tahoma" w:cs="Tahoma"/>
                <w:i/>
                <w:iCs/>
                <w:sz w:val="24"/>
                <w:szCs w:val="24"/>
              </w:rPr>
              <w:t>.</w:t>
            </w:r>
          </w:p>
        </w:tc>
      </w:tr>
      <w:tr w:rsidR="00496E3D" w:rsidRPr="00002090" w14:paraId="32E00D8C" w14:textId="77777777" w:rsidTr="00496E3D">
        <w:trPr>
          <w:trHeight w:val="527"/>
        </w:trPr>
        <w:tc>
          <w:tcPr>
            <w:tcW w:w="1919" w:type="dxa"/>
            <w:tcBorders>
              <w:top w:val="single" w:sz="4" w:space="0" w:color="auto"/>
              <w:left w:val="single" w:sz="4" w:space="0" w:color="auto"/>
              <w:bottom w:val="single" w:sz="4" w:space="0" w:color="auto"/>
              <w:right w:val="single" w:sz="4" w:space="0" w:color="auto"/>
            </w:tcBorders>
            <w:vAlign w:val="center"/>
          </w:tcPr>
          <w:p w14:paraId="4CA578BA" w14:textId="7446E758" w:rsidR="00496E3D" w:rsidRPr="00002090" w:rsidRDefault="00866B20" w:rsidP="007C545E">
            <w:pPr>
              <w:spacing w:after="0" w:line="360" w:lineRule="auto"/>
              <w:ind w:left="-142" w:firstLine="142"/>
              <w:jc w:val="both"/>
              <w:rPr>
                <w:rFonts w:ascii="Tahoma" w:hAnsi="Tahoma" w:cs="Tahoma"/>
                <w:sz w:val="24"/>
                <w:szCs w:val="24"/>
              </w:rPr>
            </w:pPr>
            <w:r>
              <w:rPr>
                <w:rFonts w:ascii="Tahoma" w:hAnsi="Tahoma" w:cs="Tahoma"/>
                <w:sz w:val="24"/>
                <w:szCs w:val="24"/>
              </w:rPr>
              <w:t>01/06/2025</w:t>
            </w:r>
          </w:p>
        </w:tc>
        <w:tc>
          <w:tcPr>
            <w:tcW w:w="1559" w:type="dxa"/>
            <w:tcBorders>
              <w:top w:val="single" w:sz="4" w:space="0" w:color="auto"/>
              <w:left w:val="nil"/>
              <w:bottom w:val="single" w:sz="4" w:space="0" w:color="auto"/>
              <w:right w:val="single" w:sz="4" w:space="0" w:color="auto"/>
            </w:tcBorders>
            <w:vAlign w:val="center"/>
          </w:tcPr>
          <w:p w14:paraId="03156472" w14:textId="77777777" w:rsidR="00496E3D" w:rsidRDefault="00496E3D" w:rsidP="007C545E">
            <w:pPr>
              <w:spacing w:after="0" w:line="360" w:lineRule="auto"/>
              <w:ind w:left="-142" w:firstLine="225"/>
              <w:jc w:val="center"/>
              <w:rPr>
                <w:rFonts w:ascii="Tahoma" w:hAnsi="Tahoma" w:cs="Tahoma"/>
                <w:sz w:val="24"/>
                <w:szCs w:val="24"/>
              </w:rPr>
            </w:pPr>
            <w:r>
              <w:rPr>
                <w:rFonts w:ascii="Tahoma" w:hAnsi="Tahoma" w:cs="Tahoma"/>
                <w:sz w:val="24"/>
                <w:szCs w:val="24"/>
              </w:rPr>
              <w:t>V2</w:t>
            </w:r>
          </w:p>
        </w:tc>
        <w:tc>
          <w:tcPr>
            <w:tcW w:w="6304" w:type="dxa"/>
            <w:tcBorders>
              <w:top w:val="single" w:sz="4" w:space="0" w:color="auto"/>
              <w:left w:val="nil"/>
              <w:bottom w:val="single" w:sz="4" w:space="0" w:color="auto"/>
              <w:right w:val="single" w:sz="4" w:space="0" w:color="auto"/>
            </w:tcBorders>
            <w:vAlign w:val="center"/>
          </w:tcPr>
          <w:p w14:paraId="66BB19F7" w14:textId="0CD5345B" w:rsidR="00496E3D" w:rsidRPr="00496E3D" w:rsidRDefault="00496E3D" w:rsidP="00496E3D">
            <w:pPr>
              <w:rPr>
                <w:rFonts w:ascii="Tahoma" w:hAnsi="Tahoma" w:cs="Tahoma"/>
              </w:rPr>
            </w:pPr>
            <w:r w:rsidRPr="00496E3D">
              <w:rPr>
                <w:rFonts w:ascii="Tahoma" w:hAnsi="Tahoma" w:cs="Tahoma"/>
                <w:sz w:val="24"/>
                <w:szCs w:val="24"/>
              </w:rPr>
              <w:t xml:space="preserve">Actualización del </w:t>
            </w:r>
            <w:r w:rsidRPr="00496E3D">
              <w:rPr>
                <w:rFonts w:ascii="Tahoma" w:hAnsi="Tahoma" w:cs="Tahoma"/>
                <w:i/>
                <w:iCs/>
                <w:w w:val="99"/>
                <w:sz w:val="24"/>
                <w:szCs w:val="24"/>
              </w:rPr>
              <w:t xml:space="preserve">MANUAL DE PROCEDIMIENTO DEL ARCHIVO CENTRAL </w:t>
            </w:r>
            <w:r>
              <w:rPr>
                <w:rFonts w:ascii="Tahoma" w:hAnsi="Tahoma" w:cs="Tahoma"/>
                <w:w w:val="99"/>
                <w:sz w:val="24"/>
                <w:szCs w:val="24"/>
              </w:rPr>
              <w:t>cambio de código y versión.</w:t>
            </w:r>
          </w:p>
        </w:tc>
      </w:tr>
      <w:tr w:rsidR="00496E3D" w:rsidRPr="00002090" w14:paraId="4B4CCDAE" w14:textId="77777777" w:rsidTr="00496E3D">
        <w:trPr>
          <w:trHeight w:val="527"/>
        </w:trPr>
        <w:tc>
          <w:tcPr>
            <w:tcW w:w="1919" w:type="dxa"/>
            <w:tcBorders>
              <w:top w:val="single" w:sz="4" w:space="0" w:color="auto"/>
              <w:left w:val="single" w:sz="4" w:space="0" w:color="auto"/>
              <w:bottom w:val="single" w:sz="4" w:space="0" w:color="auto"/>
              <w:right w:val="single" w:sz="4" w:space="0" w:color="auto"/>
            </w:tcBorders>
            <w:vAlign w:val="center"/>
          </w:tcPr>
          <w:p w14:paraId="0C9C22DA" w14:textId="05432FAF" w:rsidR="00496E3D" w:rsidRDefault="00496E3D" w:rsidP="007C545E">
            <w:pPr>
              <w:spacing w:after="0" w:line="360" w:lineRule="auto"/>
              <w:ind w:left="-142" w:firstLine="142"/>
              <w:jc w:val="both"/>
              <w:rPr>
                <w:rFonts w:ascii="Tahoma" w:hAnsi="Tahoma" w:cs="Tahoma"/>
                <w:sz w:val="24"/>
                <w:szCs w:val="24"/>
              </w:rPr>
            </w:pPr>
            <w:r>
              <w:rPr>
                <w:rFonts w:ascii="Tahoma" w:hAnsi="Tahoma" w:cs="Tahoma"/>
                <w:sz w:val="24"/>
                <w:szCs w:val="24"/>
              </w:rPr>
              <w:lastRenderedPageBreak/>
              <w:t>20/05/2026</w:t>
            </w:r>
          </w:p>
        </w:tc>
        <w:tc>
          <w:tcPr>
            <w:tcW w:w="1559" w:type="dxa"/>
            <w:tcBorders>
              <w:top w:val="single" w:sz="4" w:space="0" w:color="auto"/>
              <w:left w:val="nil"/>
              <w:bottom w:val="single" w:sz="4" w:space="0" w:color="auto"/>
              <w:right w:val="single" w:sz="4" w:space="0" w:color="auto"/>
            </w:tcBorders>
            <w:vAlign w:val="center"/>
          </w:tcPr>
          <w:p w14:paraId="5CF1CAA7" w14:textId="4CBD652C" w:rsidR="00496E3D" w:rsidRDefault="00496E3D" w:rsidP="007C545E">
            <w:pPr>
              <w:spacing w:after="0" w:line="360" w:lineRule="auto"/>
              <w:ind w:left="-142" w:firstLine="225"/>
              <w:jc w:val="center"/>
              <w:rPr>
                <w:rFonts w:ascii="Tahoma" w:hAnsi="Tahoma" w:cs="Tahoma"/>
                <w:sz w:val="24"/>
                <w:szCs w:val="24"/>
              </w:rPr>
            </w:pPr>
            <w:r>
              <w:rPr>
                <w:rFonts w:ascii="Tahoma" w:hAnsi="Tahoma" w:cs="Tahoma"/>
                <w:sz w:val="24"/>
                <w:szCs w:val="24"/>
              </w:rPr>
              <w:t>V</w:t>
            </w:r>
            <w:r w:rsidR="009B7E12">
              <w:rPr>
                <w:rFonts w:ascii="Tahoma" w:hAnsi="Tahoma" w:cs="Tahoma"/>
                <w:sz w:val="24"/>
                <w:szCs w:val="24"/>
              </w:rPr>
              <w:t>3</w:t>
            </w:r>
          </w:p>
        </w:tc>
        <w:tc>
          <w:tcPr>
            <w:tcW w:w="6304" w:type="dxa"/>
            <w:tcBorders>
              <w:top w:val="single" w:sz="4" w:space="0" w:color="auto"/>
              <w:left w:val="nil"/>
              <w:bottom w:val="single" w:sz="4" w:space="0" w:color="auto"/>
              <w:right w:val="single" w:sz="4" w:space="0" w:color="auto"/>
            </w:tcBorders>
            <w:vAlign w:val="center"/>
          </w:tcPr>
          <w:p w14:paraId="42F8511E" w14:textId="764A2684" w:rsidR="00496E3D" w:rsidRDefault="00496E3D" w:rsidP="007C545E">
            <w:pPr>
              <w:spacing w:after="0" w:line="360" w:lineRule="auto"/>
              <w:ind w:right="72"/>
              <w:jc w:val="both"/>
              <w:rPr>
                <w:rFonts w:ascii="Tahoma" w:hAnsi="Tahoma" w:cs="Tahoma"/>
                <w:sz w:val="24"/>
                <w:szCs w:val="24"/>
              </w:rPr>
            </w:pPr>
            <w:r>
              <w:rPr>
                <w:rFonts w:ascii="Tahoma" w:hAnsi="Tahoma" w:cs="Tahoma"/>
                <w:sz w:val="24"/>
                <w:szCs w:val="24"/>
              </w:rPr>
              <w:t xml:space="preserve">Actualización del </w:t>
            </w:r>
            <w:r w:rsidR="009B7E12" w:rsidRPr="009B7E12">
              <w:rPr>
                <w:rFonts w:ascii="Tahoma" w:hAnsi="Tahoma" w:cs="Tahoma"/>
                <w:i/>
                <w:iCs/>
                <w:sz w:val="24"/>
                <w:szCs w:val="24"/>
              </w:rPr>
              <w:t>Manual</w:t>
            </w:r>
            <w:r w:rsidR="009B7E12">
              <w:rPr>
                <w:rFonts w:ascii="Tahoma" w:hAnsi="Tahoma" w:cs="Tahoma"/>
                <w:sz w:val="24"/>
                <w:szCs w:val="24"/>
              </w:rPr>
              <w:t xml:space="preserve"> </w:t>
            </w:r>
            <w:r w:rsidR="009B7E12" w:rsidRPr="009B7E12">
              <w:rPr>
                <w:rFonts w:ascii="Tahoma" w:hAnsi="Tahoma" w:cs="Tahoma"/>
                <w:i/>
                <w:iCs/>
                <w:sz w:val="24"/>
                <w:szCs w:val="24"/>
              </w:rPr>
              <w:t xml:space="preserve">de </w:t>
            </w:r>
            <w:r>
              <w:rPr>
                <w:rFonts w:ascii="Tahoma" w:hAnsi="Tahoma" w:cs="Tahoma"/>
                <w:i/>
                <w:iCs/>
                <w:sz w:val="24"/>
                <w:szCs w:val="24"/>
              </w:rPr>
              <w:t xml:space="preserve">procedimiento de </w:t>
            </w:r>
            <w:r w:rsidR="009B7E12">
              <w:rPr>
                <w:rFonts w:ascii="Tahoma" w:hAnsi="Tahoma" w:cs="Tahoma"/>
                <w:i/>
                <w:iCs/>
                <w:sz w:val="24"/>
                <w:szCs w:val="24"/>
              </w:rPr>
              <w:t xml:space="preserve">archivo central </w:t>
            </w:r>
            <w:r>
              <w:rPr>
                <w:rFonts w:ascii="Tahoma" w:hAnsi="Tahoma" w:cs="Tahoma"/>
                <w:sz w:val="24"/>
                <w:szCs w:val="24"/>
              </w:rPr>
              <w:t>con codificación GAD-</w:t>
            </w:r>
            <w:r w:rsidR="009B7E12">
              <w:rPr>
                <w:rFonts w:ascii="Tahoma" w:hAnsi="Tahoma" w:cs="Tahoma"/>
                <w:sz w:val="24"/>
                <w:szCs w:val="24"/>
              </w:rPr>
              <w:t>M-02</w:t>
            </w:r>
            <w:r>
              <w:rPr>
                <w:rFonts w:ascii="Tahoma" w:hAnsi="Tahoma" w:cs="Tahoma"/>
                <w:sz w:val="24"/>
                <w:szCs w:val="24"/>
              </w:rPr>
              <w:t xml:space="preserve"> y estructura general según guía para la elaboración de documentos </w:t>
            </w:r>
            <w:r>
              <w:rPr>
                <w:rFonts w:ascii="Tahoma" w:hAnsi="Tahoma" w:cs="Tahoma"/>
              </w:rPr>
              <w:t>GEC-D-01</w:t>
            </w:r>
            <w:r>
              <w:rPr>
                <w:rFonts w:ascii="Tahoma" w:hAnsi="Tahoma" w:cs="Tahoma"/>
                <w:sz w:val="24"/>
                <w:szCs w:val="24"/>
              </w:rPr>
              <w:t>, portada, pie de página, marca de agua.</w:t>
            </w:r>
          </w:p>
        </w:tc>
      </w:tr>
    </w:tbl>
    <w:p w14:paraId="58748528" w14:textId="77777777" w:rsidR="00496E3D" w:rsidRPr="00F67294" w:rsidRDefault="00496E3D" w:rsidP="00496E3D">
      <w:pPr>
        <w:spacing w:after="0" w:line="265" w:lineRule="auto"/>
        <w:rPr>
          <w:rFonts w:ascii="Tahoma" w:eastAsia="Tahoma" w:hAnsi="Tahoma" w:cs="Tahoma"/>
          <w:color w:val="000000"/>
        </w:rPr>
      </w:pPr>
    </w:p>
    <w:p w14:paraId="09252C72" w14:textId="77777777" w:rsidR="00496E3D" w:rsidRPr="00F67294" w:rsidRDefault="00496E3D" w:rsidP="00496E3D">
      <w:pPr>
        <w:spacing w:after="0" w:line="265" w:lineRule="auto"/>
        <w:rPr>
          <w:rFonts w:ascii="Tahoma" w:eastAsia="Tahoma" w:hAnsi="Tahoma" w:cs="Tahoma"/>
          <w:b/>
          <w:bCs/>
          <w:color w:val="000000"/>
          <w:sz w:val="24"/>
          <w:szCs w:val="24"/>
        </w:rPr>
      </w:pPr>
    </w:p>
    <w:p w14:paraId="7226CDE1" w14:textId="77777777" w:rsidR="00496E3D" w:rsidRPr="00F67294" w:rsidRDefault="00496E3D" w:rsidP="00496E3D">
      <w:pPr>
        <w:spacing w:after="0" w:line="265" w:lineRule="auto"/>
        <w:rPr>
          <w:rFonts w:ascii="Tahoma" w:eastAsia="Tahoma" w:hAnsi="Tahoma" w:cs="Tahoma"/>
          <w:b/>
          <w:bCs/>
          <w:color w:val="000000"/>
          <w:sz w:val="24"/>
          <w:szCs w:val="24"/>
        </w:rPr>
      </w:pPr>
      <w:r w:rsidRPr="00F67294">
        <w:rPr>
          <w:rFonts w:ascii="Tahoma" w:eastAsia="Tahoma" w:hAnsi="Tahoma" w:cs="Tahoma"/>
          <w:b/>
          <w:bCs/>
          <w:color w:val="000000"/>
          <w:sz w:val="24"/>
          <w:szCs w:val="24"/>
        </w:rPr>
        <w:t>LISTA DE DISTRIBUCIÓN</w:t>
      </w:r>
    </w:p>
    <w:p w14:paraId="55B520FB" w14:textId="77777777" w:rsidR="00496E3D" w:rsidRPr="00F67294" w:rsidRDefault="00496E3D" w:rsidP="00496E3D">
      <w:pPr>
        <w:spacing w:after="0" w:line="240" w:lineRule="auto"/>
        <w:rPr>
          <w:rFonts w:ascii="Times New Roman" w:eastAsia="Times New Roman" w:hAnsi="Times New Roman" w:cs="Times New Roman"/>
          <w:sz w:val="24"/>
          <w:szCs w:val="24"/>
          <w:lang w:eastAsia="es-CO"/>
        </w:rPr>
      </w:pPr>
    </w:p>
    <w:tbl>
      <w:tblPr>
        <w:tblW w:w="9782" w:type="dxa"/>
        <w:tblInd w:w="-431" w:type="dxa"/>
        <w:tblCellMar>
          <w:top w:w="15" w:type="dxa"/>
          <w:left w:w="15" w:type="dxa"/>
          <w:bottom w:w="15" w:type="dxa"/>
          <w:right w:w="15" w:type="dxa"/>
        </w:tblCellMar>
        <w:tblLook w:val="04A0" w:firstRow="1" w:lastRow="0" w:firstColumn="1" w:lastColumn="0" w:noHBand="0" w:noVBand="1"/>
      </w:tblPr>
      <w:tblGrid>
        <w:gridCol w:w="1783"/>
        <w:gridCol w:w="7999"/>
      </w:tblGrid>
      <w:tr w:rsidR="00496E3D" w:rsidRPr="002E308B" w14:paraId="51A490E6" w14:textId="77777777" w:rsidTr="00496E3D">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BF1AEC" w14:textId="77777777" w:rsidR="00496E3D" w:rsidRPr="002E308B" w:rsidRDefault="00496E3D" w:rsidP="007C545E">
            <w:pPr>
              <w:spacing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b/>
                <w:bCs/>
                <w:color w:val="000000"/>
                <w:sz w:val="24"/>
                <w:szCs w:val="24"/>
                <w:lang w:eastAsia="es-CO"/>
              </w:rPr>
              <w:t>VERSIÓN</w:t>
            </w:r>
          </w:p>
        </w:tc>
        <w:tc>
          <w:tcPr>
            <w:tcW w:w="7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788C20" w14:textId="77777777" w:rsidR="00496E3D" w:rsidRPr="002E308B" w:rsidRDefault="00496E3D" w:rsidP="007C545E">
            <w:pPr>
              <w:spacing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b/>
                <w:bCs/>
                <w:color w:val="000000"/>
                <w:sz w:val="24"/>
                <w:szCs w:val="24"/>
                <w:lang w:eastAsia="es-CO"/>
              </w:rPr>
              <w:t>DISTRIBUCIÓN</w:t>
            </w:r>
          </w:p>
        </w:tc>
      </w:tr>
      <w:tr w:rsidR="00496E3D" w:rsidRPr="002E308B" w14:paraId="640644B1" w14:textId="77777777" w:rsidTr="00496E3D">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57A943" w14:textId="5E85BCA6" w:rsidR="00496E3D" w:rsidRPr="002E308B" w:rsidRDefault="00496E3D" w:rsidP="007C545E">
            <w:pPr>
              <w:spacing w:line="240" w:lineRule="auto"/>
              <w:jc w:val="center"/>
              <w:rPr>
                <w:rFonts w:ascii="Tahoma" w:eastAsia="Times New Roman" w:hAnsi="Tahoma" w:cs="Tahoma"/>
                <w:color w:val="000000"/>
                <w:sz w:val="24"/>
                <w:szCs w:val="24"/>
                <w:lang w:eastAsia="es-CO"/>
              </w:rPr>
            </w:pPr>
            <w:r>
              <w:rPr>
                <w:rFonts w:ascii="Tahoma" w:eastAsia="Times New Roman" w:hAnsi="Tahoma" w:cs="Tahoma"/>
                <w:color w:val="000000"/>
                <w:sz w:val="24"/>
                <w:szCs w:val="24"/>
                <w:lang w:eastAsia="es-CO"/>
              </w:rPr>
              <w:t>V3</w:t>
            </w:r>
          </w:p>
        </w:tc>
        <w:tc>
          <w:tcPr>
            <w:tcW w:w="7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0543CA" w14:textId="77777777" w:rsidR="00496E3D" w:rsidRPr="002E308B" w:rsidRDefault="00496E3D" w:rsidP="007C545E">
            <w:pPr>
              <w:spacing w:line="240" w:lineRule="auto"/>
              <w:jc w:val="center"/>
              <w:rPr>
                <w:rFonts w:ascii="Tahoma" w:eastAsia="Times New Roman" w:hAnsi="Tahoma" w:cs="Tahoma"/>
                <w:color w:val="000000"/>
                <w:sz w:val="24"/>
                <w:szCs w:val="24"/>
                <w:lang w:eastAsia="es-CO"/>
              </w:rPr>
            </w:pPr>
            <w:r>
              <w:rPr>
                <w:rFonts w:ascii="Tahoma" w:eastAsia="Times New Roman" w:hAnsi="Tahoma" w:cs="Tahoma"/>
                <w:color w:val="000000"/>
                <w:sz w:val="24"/>
                <w:szCs w:val="24"/>
                <w:lang w:eastAsia="es-CO"/>
              </w:rPr>
              <w:t>Archivo digital oficina de archivo.</w:t>
            </w:r>
          </w:p>
        </w:tc>
      </w:tr>
      <w:tr w:rsidR="00496E3D" w:rsidRPr="002E308B" w14:paraId="6F99FCAF" w14:textId="77777777" w:rsidTr="00496E3D">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862FDD" w14:textId="49859BB9" w:rsidR="00496E3D" w:rsidRPr="002E308B" w:rsidRDefault="00496E3D" w:rsidP="007C545E">
            <w:pPr>
              <w:spacing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color w:val="000000"/>
                <w:sz w:val="24"/>
                <w:szCs w:val="24"/>
                <w:lang w:eastAsia="es-CO"/>
              </w:rPr>
              <w:t>V</w:t>
            </w:r>
            <w:r>
              <w:rPr>
                <w:rFonts w:ascii="Tahoma" w:eastAsia="Times New Roman" w:hAnsi="Tahoma" w:cs="Tahoma"/>
                <w:color w:val="000000"/>
                <w:sz w:val="24"/>
                <w:szCs w:val="24"/>
                <w:lang w:eastAsia="es-CO"/>
              </w:rPr>
              <w:t>3</w:t>
            </w:r>
          </w:p>
        </w:tc>
        <w:tc>
          <w:tcPr>
            <w:tcW w:w="7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E70AE6" w14:textId="77777777" w:rsidR="00496E3D" w:rsidRPr="002E308B" w:rsidRDefault="00496E3D" w:rsidP="007C545E">
            <w:pPr>
              <w:spacing w:after="0"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color w:val="000000"/>
                <w:sz w:val="24"/>
                <w:szCs w:val="24"/>
                <w:lang w:eastAsia="es-CO"/>
              </w:rPr>
              <w:t xml:space="preserve">Carpeta compartida drive procedimientos  </w:t>
            </w:r>
            <w:hyperlink r:id="rId8" w:history="1">
              <w:r w:rsidRPr="002E308B">
                <w:rPr>
                  <w:rFonts w:ascii="Tahoma" w:eastAsia="Times New Roman" w:hAnsi="Tahoma" w:cs="Tahoma"/>
                  <w:color w:val="1155CC"/>
                  <w:sz w:val="24"/>
                  <w:szCs w:val="24"/>
                  <w:u w:val="single"/>
                  <w:shd w:val="clear" w:color="auto" w:fill="FFFFFF"/>
                  <w:lang w:eastAsia="es-CO"/>
                </w:rPr>
                <w:t>calidadepq2024@gmail.com</w:t>
              </w:r>
            </w:hyperlink>
            <w:r w:rsidRPr="002E308B">
              <w:rPr>
                <w:rFonts w:ascii="Tahoma" w:eastAsia="Times New Roman" w:hAnsi="Tahoma" w:cs="Tahoma"/>
                <w:color w:val="222222"/>
                <w:sz w:val="24"/>
                <w:szCs w:val="24"/>
                <w:shd w:val="clear" w:color="auto" w:fill="FFFFFF"/>
                <w:lang w:eastAsia="es-CO"/>
              </w:rPr>
              <w:t> </w:t>
            </w:r>
          </w:p>
        </w:tc>
      </w:tr>
      <w:bookmarkEnd w:id="10"/>
    </w:tbl>
    <w:p w14:paraId="017FAB55" w14:textId="77777777" w:rsidR="00496E3D" w:rsidRPr="00F67294" w:rsidRDefault="00496E3D" w:rsidP="00496E3D">
      <w:pPr>
        <w:spacing w:line="360" w:lineRule="auto"/>
        <w:jc w:val="both"/>
        <w:rPr>
          <w:rFonts w:ascii="Tahoma" w:hAnsi="Tahoma" w:cs="Tahoma"/>
          <w:sz w:val="24"/>
          <w:szCs w:val="24"/>
        </w:rPr>
      </w:pPr>
    </w:p>
    <w:p w14:paraId="5E01DB7C" w14:textId="77777777" w:rsidR="00DB0639" w:rsidRPr="00B037F7" w:rsidRDefault="00DB0639" w:rsidP="00FF3425">
      <w:pPr>
        <w:pStyle w:val="Prrafodelista"/>
        <w:spacing w:after="160" w:line="360" w:lineRule="auto"/>
        <w:rPr>
          <w:rFonts w:ascii="Tahoma" w:hAnsi="Tahoma" w:cs="Tahoma"/>
          <w:sz w:val="24"/>
          <w:szCs w:val="24"/>
        </w:rPr>
      </w:pPr>
    </w:p>
    <w:sectPr w:rsidR="00DB0639" w:rsidRPr="00B037F7">
      <w:headerReference w:type="even" r:id="rId9"/>
      <w:headerReference w:type="default" r:id="rId10"/>
      <w:footerReference w:type="default" r:id="rId11"/>
      <w:head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AD841" w14:textId="77777777" w:rsidR="00B77BDE" w:rsidRDefault="00B77BDE" w:rsidP="00846BEC">
      <w:pPr>
        <w:spacing w:after="0" w:line="240" w:lineRule="auto"/>
      </w:pPr>
      <w:r>
        <w:separator/>
      </w:r>
    </w:p>
  </w:endnote>
  <w:endnote w:type="continuationSeparator" w:id="0">
    <w:p w14:paraId="47801E34" w14:textId="77777777" w:rsidR="00B77BDE" w:rsidRDefault="00B77BDE" w:rsidP="00846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F4A3" w14:textId="77777777" w:rsidR="00DF0F46" w:rsidRPr="00DF0F46" w:rsidRDefault="00DF0F46" w:rsidP="00DF0F46">
    <w:pPr>
      <w:pBdr>
        <w:top w:val="nil"/>
        <w:left w:val="nil"/>
        <w:bottom w:val="nil"/>
        <w:right w:val="nil"/>
        <w:between w:val="nil"/>
      </w:pBdr>
      <w:tabs>
        <w:tab w:val="center" w:pos="4419"/>
        <w:tab w:val="right" w:pos="8838"/>
        <w:tab w:val="left" w:pos="1680"/>
        <w:tab w:val="center" w:pos="4806"/>
      </w:tabs>
      <w:spacing w:after="0" w:line="240" w:lineRule="auto"/>
      <w:rPr>
        <w:rFonts w:ascii="Calibri" w:eastAsia="Calibri" w:hAnsi="Calibri" w:cs="Calibri"/>
        <w:color w:val="000000"/>
        <w:sz w:val="21"/>
        <w:szCs w:val="21"/>
        <w:lang w:eastAsia="es-CO"/>
      </w:rPr>
    </w:pPr>
    <w:r>
      <w:rPr>
        <w:color w:val="000000"/>
      </w:rPr>
      <w:tab/>
    </w:r>
    <w:r w:rsidRPr="00DF0F46">
      <w:rPr>
        <w:rFonts w:ascii="Calibri" w:eastAsia="Calibri" w:hAnsi="Calibri" w:cs="Calibri"/>
        <w:color w:val="000000"/>
        <w:sz w:val="21"/>
        <w:szCs w:val="21"/>
        <w:lang w:eastAsia="es-CO"/>
      </w:rPr>
      <w:tab/>
    </w:r>
    <w:r w:rsidRPr="00DF0F46">
      <w:rPr>
        <w:rFonts w:ascii="Calibri" w:eastAsia="Calibri" w:hAnsi="Calibri" w:cs="Calibri"/>
        <w:noProof/>
        <w:sz w:val="21"/>
        <w:szCs w:val="21"/>
        <w:lang w:eastAsia="es-CO"/>
      </w:rPr>
      <w:drawing>
        <wp:anchor distT="0" distB="0" distL="114300" distR="114300" simplePos="0" relativeHeight="251659264" behindDoc="0" locked="0" layoutInCell="1" hidden="0" allowOverlap="1" wp14:anchorId="40915B59" wp14:editId="236A4C49">
          <wp:simplePos x="0" y="0"/>
          <wp:positionH relativeFrom="column">
            <wp:posOffset>2438400</wp:posOffset>
          </wp:positionH>
          <wp:positionV relativeFrom="paragraph">
            <wp:posOffset>-15238</wp:posOffset>
          </wp:positionV>
          <wp:extent cx="1031875" cy="723900"/>
          <wp:effectExtent l="0" t="0" r="0" b="0"/>
          <wp:wrapNone/>
          <wp:docPr id="1887848763" name="image27.png" descr="C:\Users\Usuario\Desktop\LOGO CALIDAD-01.png"/>
          <wp:cNvGraphicFramePr/>
          <a:graphic xmlns:a="http://schemas.openxmlformats.org/drawingml/2006/main">
            <a:graphicData uri="http://schemas.openxmlformats.org/drawingml/2006/picture">
              <pic:pic xmlns:pic="http://schemas.openxmlformats.org/drawingml/2006/picture">
                <pic:nvPicPr>
                  <pic:cNvPr id="0" name="image27.png" descr="C:\Users\Usuario\Desktop\LOGO CALIDAD-01.png"/>
                  <pic:cNvPicPr preferRelativeResize="0"/>
                </pic:nvPicPr>
                <pic:blipFill>
                  <a:blip r:embed="rId1"/>
                  <a:srcRect/>
                  <a:stretch>
                    <a:fillRect/>
                  </a:stretch>
                </pic:blipFill>
                <pic:spPr>
                  <a:xfrm>
                    <a:off x="0" y="0"/>
                    <a:ext cx="1031875" cy="723900"/>
                  </a:xfrm>
                  <a:prstGeom prst="rect">
                    <a:avLst/>
                  </a:prstGeom>
                  <a:ln/>
                </pic:spPr>
              </pic:pic>
            </a:graphicData>
          </a:graphic>
        </wp:anchor>
      </w:drawing>
    </w:r>
  </w:p>
  <w:p w14:paraId="5DB3FF5C" w14:textId="77777777" w:rsidR="00DF0F46" w:rsidRPr="00DF0F46" w:rsidRDefault="00DF0F46" w:rsidP="00DF0F4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bookmarkStart w:id="11" w:name="_Hlk216679064"/>
    <w:bookmarkStart w:id="12" w:name="_Hlk216679065"/>
  </w:p>
  <w:p w14:paraId="5D5846DC" w14:textId="77777777" w:rsidR="00DF0F46" w:rsidRPr="00DF0F46" w:rsidRDefault="00DF0F46" w:rsidP="00DF0F4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1EA348FB" w14:textId="77777777" w:rsidR="00DF0F46" w:rsidRPr="00DF0F46" w:rsidRDefault="00DF0F46" w:rsidP="00DF0F4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79337D9A" w14:textId="77777777" w:rsidR="00DF0F46" w:rsidRPr="00DF0F46" w:rsidRDefault="00DF0F46" w:rsidP="00DF0F4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DF0F46">
      <w:rPr>
        <w:rFonts w:ascii="Calibri" w:eastAsia="Calibri" w:hAnsi="Calibri" w:cs="Calibri"/>
        <w:color w:val="000000"/>
        <w:sz w:val="21"/>
        <w:szCs w:val="21"/>
        <w:lang w:eastAsia="es-CO"/>
      </w:rPr>
      <w:t xml:space="preserve">"Cualquier impresión o copia tomada de este documento se considera como COPIA NO CONTROLADA. </w:t>
    </w:r>
  </w:p>
  <w:p w14:paraId="47667488" w14:textId="77777777" w:rsidR="00DF0F46" w:rsidRPr="00DF0F46" w:rsidRDefault="00DF0F46" w:rsidP="00DF0F4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DF0F46">
      <w:rPr>
        <w:rFonts w:ascii="Calibri" w:eastAsia="Calibri" w:hAnsi="Calibri" w:cs="Calibri"/>
        <w:color w:val="000000"/>
        <w:sz w:val="21"/>
        <w:szCs w:val="21"/>
        <w:lang w:eastAsia="es-CO"/>
      </w:rPr>
      <w:t>El contenido de este documento es de propiedad y de uso exclusivo de EPQ S.A. E.S.P"</w:t>
    </w:r>
  </w:p>
  <w:bookmarkEnd w:id="11"/>
  <w:bookmarkEnd w:id="12"/>
  <w:p w14:paraId="475A2D1E" w14:textId="71779A3E" w:rsidR="00DF0F46" w:rsidRPr="00DF0F46" w:rsidRDefault="00DF0F46" w:rsidP="00DF0F46">
    <w:pPr>
      <w:pBdr>
        <w:top w:val="nil"/>
        <w:left w:val="nil"/>
        <w:bottom w:val="nil"/>
        <w:right w:val="nil"/>
        <w:between w:val="nil"/>
      </w:pBdr>
      <w:tabs>
        <w:tab w:val="left" w:pos="1680"/>
        <w:tab w:val="center" w:pos="4419"/>
        <w:tab w:val="center" w:pos="4806"/>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6AC6E" w14:textId="77777777" w:rsidR="00B77BDE" w:rsidRDefault="00B77BDE" w:rsidP="00846BEC">
      <w:pPr>
        <w:spacing w:after="0" w:line="240" w:lineRule="auto"/>
      </w:pPr>
      <w:r>
        <w:separator/>
      </w:r>
    </w:p>
  </w:footnote>
  <w:footnote w:type="continuationSeparator" w:id="0">
    <w:p w14:paraId="619DEE59" w14:textId="77777777" w:rsidR="00B77BDE" w:rsidRDefault="00B77BDE" w:rsidP="00846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1CDB" w14:textId="50119826" w:rsidR="00DF0F46" w:rsidRDefault="00000000">
    <w:pPr>
      <w:pStyle w:val="Encabezado"/>
    </w:pPr>
    <w:r>
      <w:rPr>
        <w:noProof/>
      </w:rPr>
      <w:pict w14:anchorId="4E06CE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292903" o:spid="_x0000_s1027" type="#_x0000_t136" alt="" style="position:absolute;margin-left:0;margin-top:0;width:578.5pt;height:44.5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871" w:type="dxa"/>
      <w:tblInd w:w="-459" w:type="dxa"/>
      <w:tblLook w:val="04A0" w:firstRow="1" w:lastRow="0" w:firstColumn="1" w:lastColumn="0" w:noHBand="0" w:noVBand="1"/>
    </w:tblPr>
    <w:tblGrid>
      <w:gridCol w:w="1626"/>
      <w:gridCol w:w="1493"/>
      <w:gridCol w:w="2722"/>
      <w:gridCol w:w="1814"/>
      <w:gridCol w:w="2216"/>
    </w:tblGrid>
    <w:tr w:rsidR="000C1EC3" w:rsidRPr="00FD38D7" w14:paraId="7236C2BC" w14:textId="77777777" w:rsidTr="0050638F">
      <w:trPr>
        <w:trHeight w:val="551"/>
      </w:trPr>
      <w:tc>
        <w:tcPr>
          <w:tcW w:w="1626" w:type="dxa"/>
        </w:tcPr>
        <w:p w14:paraId="59814F9E" w14:textId="77777777" w:rsidR="000C1EC3" w:rsidRPr="00FD38D7" w:rsidRDefault="000C1EC3">
          <w:pPr>
            <w:pStyle w:val="Encabezado"/>
            <w:rPr>
              <w:rFonts w:ascii="Tahoma" w:hAnsi="Tahoma" w:cs="Tahoma"/>
            </w:rPr>
          </w:pPr>
          <w:r w:rsidRPr="00FD38D7">
            <w:rPr>
              <w:rFonts w:ascii="Tahoma" w:hAnsi="Tahoma" w:cs="Tahoma"/>
              <w:noProof/>
              <w:lang w:eastAsia="es-CO"/>
            </w:rPr>
            <w:drawing>
              <wp:inline distT="0" distB="0" distL="0" distR="0" wp14:anchorId="11E96362" wp14:editId="419668FD">
                <wp:extent cx="828675" cy="449189"/>
                <wp:effectExtent l="0" t="0" r="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049" cy="452644"/>
                        </a:xfrm>
                        <a:prstGeom prst="rect">
                          <a:avLst/>
                        </a:prstGeom>
                        <a:noFill/>
                        <a:ln>
                          <a:noFill/>
                        </a:ln>
                      </pic:spPr>
                    </pic:pic>
                  </a:graphicData>
                </a:graphic>
              </wp:inline>
            </w:drawing>
          </w:r>
        </w:p>
      </w:tc>
      <w:tc>
        <w:tcPr>
          <w:tcW w:w="8245" w:type="dxa"/>
          <w:gridSpan w:val="4"/>
        </w:tcPr>
        <w:p w14:paraId="50D838BD" w14:textId="77777777" w:rsidR="000C1EC3" w:rsidRDefault="000C1EC3" w:rsidP="00846BEC">
          <w:pPr>
            <w:pStyle w:val="Encabezado"/>
            <w:jc w:val="center"/>
            <w:rPr>
              <w:rFonts w:ascii="Tahoma" w:hAnsi="Tahoma" w:cs="Tahoma"/>
              <w:b/>
            </w:rPr>
          </w:pPr>
        </w:p>
        <w:p w14:paraId="12058A6C" w14:textId="77777777" w:rsidR="000C1EC3" w:rsidRPr="00FD38D7" w:rsidRDefault="000C1EC3" w:rsidP="00846BEC">
          <w:pPr>
            <w:pStyle w:val="Encabezado"/>
            <w:jc w:val="center"/>
            <w:rPr>
              <w:rFonts w:ascii="Tahoma" w:hAnsi="Tahoma" w:cs="Tahoma"/>
              <w:b/>
            </w:rPr>
          </w:pPr>
          <w:r w:rsidRPr="00FD38D7">
            <w:rPr>
              <w:rFonts w:ascii="Tahoma" w:hAnsi="Tahoma" w:cs="Tahoma"/>
              <w:b/>
            </w:rPr>
            <w:t>EMPRESAS PÚBLICAS DEL QUINDIO “EPQ” S.A. E.S.P.</w:t>
          </w:r>
        </w:p>
        <w:p w14:paraId="799C09F4" w14:textId="77777777" w:rsidR="000C1EC3" w:rsidRPr="00FD38D7" w:rsidRDefault="000C1EC3" w:rsidP="00A710EA">
          <w:pPr>
            <w:pStyle w:val="Encabezado"/>
            <w:jc w:val="center"/>
            <w:rPr>
              <w:rFonts w:ascii="Tahoma" w:hAnsi="Tahoma" w:cs="Tahoma"/>
            </w:rPr>
          </w:pPr>
          <w:r w:rsidRPr="00FD38D7">
            <w:rPr>
              <w:rFonts w:ascii="Tahoma" w:hAnsi="Tahoma" w:cs="Tahoma"/>
              <w:b/>
              <w:bCs/>
              <w:w w:val="99"/>
            </w:rPr>
            <w:t>MANUAL DE PROCEDIMIENTO DEL ARCHIVO CENTRAL</w:t>
          </w:r>
        </w:p>
      </w:tc>
    </w:tr>
    <w:tr w:rsidR="000C1EC3" w:rsidRPr="00FD38D7" w14:paraId="37931579" w14:textId="77777777" w:rsidTr="005459A6">
      <w:trPr>
        <w:trHeight w:val="491"/>
      </w:trPr>
      <w:tc>
        <w:tcPr>
          <w:tcW w:w="1626" w:type="dxa"/>
        </w:tcPr>
        <w:p w14:paraId="39D9921F" w14:textId="77777777" w:rsidR="000C1EC3" w:rsidRPr="00496E3D" w:rsidRDefault="000C1EC3" w:rsidP="00846BEC">
          <w:pPr>
            <w:pStyle w:val="Encabezado"/>
            <w:jc w:val="center"/>
            <w:rPr>
              <w:rFonts w:ascii="Tahoma" w:eastAsia="Tahoma" w:hAnsi="Tahoma" w:cs="Tahoma"/>
              <w:sz w:val="24"/>
              <w:szCs w:val="24"/>
            </w:rPr>
          </w:pPr>
          <w:r w:rsidRPr="00496E3D">
            <w:rPr>
              <w:rFonts w:ascii="Tahoma" w:eastAsia="Tahoma" w:hAnsi="Tahoma" w:cs="Tahoma"/>
              <w:sz w:val="24"/>
              <w:szCs w:val="24"/>
            </w:rPr>
            <w:t>Código:</w:t>
          </w:r>
        </w:p>
        <w:p w14:paraId="6AC7716C" w14:textId="7FCCE0D8" w:rsidR="000C1EC3" w:rsidRPr="00496E3D" w:rsidRDefault="000C1EC3" w:rsidP="003A5555">
          <w:pPr>
            <w:pStyle w:val="Encabezado"/>
            <w:jc w:val="center"/>
            <w:rPr>
              <w:rFonts w:ascii="Tahoma" w:hAnsi="Tahoma" w:cs="Tahoma"/>
              <w:sz w:val="24"/>
              <w:szCs w:val="24"/>
            </w:rPr>
          </w:pPr>
          <w:r w:rsidRPr="00496E3D">
            <w:rPr>
              <w:rFonts w:ascii="Tahoma" w:hAnsi="Tahoma" w:cs="Tahoma"/>
              <w:sz w:val="24"/>
              <w:szCs w:val="24"/>
              <w:lang w:bidi="es-ES"/>
            </w:rPr>
            <w:t>G</w:t>
          </w:r>
          <w:r w:rsidR="003D79F8" w:rsidRPr="00496E3D">
            <w:rPr>
              <w:rFonts w:ascii="Tahoma" w:hAnsi="Tahoma" w:cs="Tahoma"/>
              <w:sz w:val="24"/>
              <w:szCs w:val="24"/>
              <w:lang w:bidi="es-ES"/>
            </w:rPr>
            <w:t>A</w:t>
          </w:r>
          <w:r w:rsidR="00496E3D" w:rsidRPr="00496E3D">
            <w:rPr>
              <w:rFonts w:ascii="Tahoma" w:hAnsi="Tahoma" w:cs="Tahoma"/>
              <w:sz w:val="24"/>
              <w:szCs w:val="24"/>
              <w:lang w:bidi="es-ES"/>
            </w:rPr>
            <w:t>D</w:t>
          </w:r>
          <w:r w:rsidRPr="00496E3D">
            <w:rPr>
              <w:rFonts w:ascii="Tahoma" w:hAnsi="Tahoma" w:cs="Tahoma"/>
              <w:sz w:val="24"/>
              <w:szCs w:val="24"/>
              <w:lang w:bidi="es-ES"/>
            </w:rPr>
            <w:t>-M-02</w:t>
          </w:r>
        </w:p>
      </w:tc>
      <w:tc>
        <w:tcPr>
          <w:tcW w:w="1493" w:type="dxa"/>
        </w:tcPr>
        <w:p w14:paraId="005724FD" w14:textId="6DF473B2" w:rsidR="000C1EC3" w:rsidRPr="00496E3D" w:rsidRDefault="000C1EC3" w:rsidP="001556EF">
          <w:pPr>
            <w:pStyle w:val="Encabezado"/>
            <w:jc w:val="center"/>
            <w:rPr>
              <w:rFonts w:ascii="Tahoma" w:hAnsi="Tahoma" w:cs="Tahoma"/>
              <w:sz w:val="24"/>
              <w:szCs w:val="24"/>
            </w:rPr>
          </w:pPr>
          <w:r w:rsidRPr="00496E3D">
            <w:rPr>
              <w:rFonts w:ascii="Tahoma" w:eastAsia="Tahoma" w:hAnsi="Tahoma" w:cs="Tahoma"/>
              <w:sz w:val="24"/>
              <w:szCs w:val="24"/>
            </w:rPr>
            <w:t>Versión:                  0</w:t>
          </w:r>
          <w:r w:rsidR="00496E3D" w:rsidRPr="00496E3D">
            <w:rPr>
              <w:rFonts w:ascii="Tahoma" w:eastAsia="Tahoma" w:hAnsi="Tahoma" w:cs="Tahoma"/>
              <w:sz w:val="24"/>
              <w:szCs w:val="24"/>
            </w:rPr>
            <w:t>3</w:t>
          </w:r>
        </w:p>
      </w:tc>
      <w:tc>
        <w:tcPr>
          <w:tcW w:w="2722" w:type="dxa"/>
        </w:tcPr>
        <w:p w14:paraId="0EA7ACD0" w14:textId="609CEE61" w:rsidR="00496E3D" w:rsidRPr="00496E3D" w:rsidRDefault="00496E3D" w:rsidP="00496E3D">
          <w:pPr>
            <w:ind w:left="220"/>
            <w:jc w:val="center"/>
            <w:rPr>
              <w:rFonts w:ascii="Tahoma" w:eastAsia="Tahoma" w:hAnsi="Tahoma" w:cs="Tahoma"/>
              <w:sz w:val="24"/>
              <w:szCs w:val="24"/>
            </w:rPr>
          </w:pPr>
          <w:r>
            <w:rPr>
              <w:rFonts w:ascii="Tahoma" w:eastAsia="Tahoma" w:hAnsi="Tahoma" w:cs="Tahoma"/>
              <w:sz w:val="24"/>
              <w:szCs w:val="24"/>
            </w:rPr>
            <w:t>Fecha de emisión:</w:t>
          </w:r>
        </w:p>
        <w:p w14:paraId="756FF8C6" w14:textId="0D5972C2" w:rsidR="000C1EC3" w:rsidRPr="00496E3D" w:rsidRDefault="00496E3D" w:rsidP="00846BEC">
          <w:pPr>
            <w:pStyle w:val="Encabezado"/>
            <w:jc w:val="center"/>
            <w:rPr>
              <w:rFonts w:ascii="Tahoma" w:hAnsi="Tahoma" w:cs="Tahoma"/>
              <w:sz w:val="24"/>
              <w:szCs w:val="24"/>
            </w:rPr>
          </w:pPr>
          <w:r w:rsidRPr="00496E3D">
            <w:rPr>
              <w:rFonts w:ascii="Tahoma" w:hAnsi="Tahoma" w:cs="Tahoma"/>
              <w:sz w:val="24"/>
              <w:szCs w:val="24"/>
            </w:rPr>
            <w:t>20/05/2026</w:t>
          </w:r>
        </w:p>
      </w:tc>
      <w:tc>
        <w:tcPr>
          <w:tcW w:w="1814" w:type="dxa"/>
        </w:tcPr>
        <w:p w14:paraId="63A7BC7D" w14:textId="77777777" w:rsidR="000C1EC3" w:rsidRPr="00496E3D" w:rsidRDefault="000C1EC3" w:rsidP="005459A6">
          <w:pPr>
            <w:ind w:left="220"/>
            <w:jc w:val="center"/>
            <w:rPr>
              <w:rFonts w:ascii="Tahoma" w:eastAsia="Tahoma" w:hAnsi="Tahoma" w:cs="Tahoma"/>
              <w:sz w:val="24"/>
              <w:szCs w:val="24"/>
            </w:rPr>
          </w:pPr>
          <w:r w:rsidRPr="00496E3D">
            <w:rPr>
              <w:rFonts w:ascii="Tahoma" w:eastAsia="Tahoma" w:hAnsi="Tahoma" w:cs="Tahoma"/>
              <w:sz w:val="24"/>
              <w:szCs w:val="24"/>
            </w:rPr>
            <w:t>Página:</w:t>
          </w:r>
        </w:p>
        <w:p w14:paraId="34F6EB4A" w14:textId="2C7C8CB5" w:rsidR="000C1EC3" w:rsidRPr="00496E3D" w:rsidRDefault="000C1EC3" w:rsidP="005459A6">
          <w:pPr>
            <w:jc w:val="center"/>
            <w:rPr>
              <w:rFonts w:ascii="Tahoma" w:eastAsia="Tahoma" w:hAnsi="Tahoma" w:cs="Tahoma"/>
              <w:sz w:val="24"/>
              <w:szCs w:val="24"/>
            </w:rPr>
          </w:pPr>
          <w:r w:rsidRPr="00496E3D">
            <w:rPr>
              <w:rFonts w:ascii="Tahoma" w:eastAsia="Tahoma" w:hAnsi="Tahoma" w:cs="Tahoma"/>
              <w:sz w:val="24"/>
              <w:szCs w:val="24"/>
            </w:rPr>
            <w:fldChar w:fldCharType="begin"/>
          </w:r>
          <w:r w:rsidRPr="00496E3D">
            <w:rPr>
              <w:rFonts w:ascii="Tahoma" w:eastAsia="Tahoma" w:hAnsi="Tahoma" w:cs="Tahoma"/>
              <w:sz w:val="24"/>
              <w:szCs w:val="24"/>
            </w:rPr>
            <w:instrText>PAGE   \* MERGEFORMAT</w:instrText>
          </w:r>
          <w:r w:rsidRPr="00496E3D">
            <w:rPr>
              <w:rFonts w:ascii="Tahoma" w:eastAsia="Tahoma" w:hAnsi="Tahoma" w:cs="Tahoma"/>
              <w:sz w:val="24"/>
              <w:szCs w:val="24"/>
            </w:rPr>
            <w:fldChar w:fldCharType="separate"/>
          </w:r>
          <w:r w:rsidR="001101E6" w:rsidRPr="00496E3D">
            <w:rPr>
              <w:rFonts w:ascii="Tahoma" w:eastAsia="Tahoma" w:hAnsi="Tahoma" w:cs="Tahoma"/>
              <w:noProof/>
              <w:sz w:val="24"/>
              <w:szCs w:val="24"/>
            </w:rPr>
            <w:t>4</w:t>
          </w:r>
          <w:r w:rsidRPr="00496E3D">
            <w:rPr>
              <w:rFonts w:ascii="Tahoma" w:eastAsia="Tahoma" w:hAnsi="Tahoma" w:cs="Tahoma"/>
              <w:sz w:val="24"/>
              <w:szCs w:val="24"/>
            </w:rPr>
            <w:fldChar w:fldCharType="end"/>
          </w:r>
          <w:r w:rsidRPr="00496E3D">
            <w:rPr>
              <w:rFonts w:ascii="Tahoma" w:eastAsia="Tahoma" w:hAnsi="Tahoma" w:cs="Tahoma"/>
              <w:sz w:val="24"/>
              <w:szCs w:val="24"/>
            </w:rPr>
            <w:t xml:space="preserve"> de 14</w:t>
          </w:r>
        </w:p>
      </w:tc>
      <w:tc>
        <w:tcPr>
          <w:tcW w:w="2216" w:type="dxa"/>
          <w:shd w:val="clear" w:color="auto" w:fill="002465"/>
        </w:tcPr>
        <w:p w14:paraId="7FAD5497" w14:textId="77777777" w:rsidR="000C1EC3" w:rsidRPr="00FD38D7" w:rsidRDefault="000C1EC3" w:rsidP="00846BEC">
          <w:pPr>
            <w:pStyle w:val="Encabezado"/>
            <w:jc w:val="center"/>
            <w:rPr>
              <w:rFonts w:ascii="Tahoma" w:hAnsi="Tahoma" w:cs="Tahoma"/>
              <w:b/>
            </w:rPr>
          </w:pPr>
          <w:r w:rsidRPr="00FD38D7">
            <w:rPr>
              <w:rFonts w:ascii="Tahoma" w:hAnsi="Tahoma" w:cs="Tahoma"/>
              <w:b/>
              <w:color w:val="FFFFFF" w:themeColor="background1"/>
            </w:rPr>
            <w:t>DOCUMENTO CONTROLADO</w:t>
          </w:r>
        </w:p>
      </w:tc>
    </w:tr>
  </w:tbl>
  <w:p w14:paraId="20AB9D19" w14:textId="0018146C" w:rsidR="000C1EC3" w:rsidRPr="00FD38D7" w:rsidRDefault="00000000">
    <w:pPr>
      <w:pStyle w:val="Encabezado"/>
      <w:rPr>
        <w:rFonts w:ascii="Tahoma" w:hAnsi="Tahoma" w:cs="Tahoma"/>
      </w:rPr>
    </w:pPr>
    <w:r>
      <w:rPr>
        <w:noProof/>
      </w:rPr>
      <w:pict w14:anchorId="36D432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292904" o:spid="_x0000_s1026" type="#_x0000_t136" alt="" style="position:absolute;margin-left:0;margin-top:0;width:578.5pt;height:44.5pt;rotation:315;z-index:-2516449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ACC7" w14:textId="337726F8" w:rsidR="00DF0F46" w:rsidRDefault="00000000">
    <w:pPr>
      <w:pStyle w:val="Encabezado"/>
    </w:pPr>
    <w:r>
      <w:rPr>
        <w:noProof/>
      </w:rPr>
      <w:pict w14:anchorId="7D1EBD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292902" o:spid="_x0000_s1025" type="#_x0000_t136" alt="" style="position:absolute;margin-left:0;margin-top:0;width:578.5pt;height:4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585"/>
    <w:multiLevelType w:val="hybridMultilevel"/>
    <w:tmpl w:val="B6F8E69A"/>
    <w:lvl w:ilvl="0" w:tplc="885463D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624A76"/>
    <w:multiLevelType w:val="hybridMultilevel"/>
    <w:tmpl w:val="B734BE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34342DA"/>
    <w:multiLevelType w:val="hybridMultilevel"/>
    <w:tmpl w:val="F042A798"/>
    <w:lvl w:ilvl="0" w:tplc="1A7C6FB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D11F81"/>
    <w:multiLevelType w:val="hybridMultilevel"/>
    <w:tmpl w:val="5628BDAA"/>
    <w:lvl w:ilvl="0" w:tplc="240A0001">
      <w:start w:val="1"/>
      <w:numFmt w:val="bullet"/>
      <w:lvlText w:val=""/>
      <w:lvlJc w:val="left"/>
      <w:pPr>
        <w:ind w:left="6" w:hanging="360"/>
      </w:pPr>
      <w:rPr>
        <w:rFonts w:ascii="Symbol" w:hAnsi="Symbol" w:hint="default"/>
      </w:rPr>
    </w:lvl>
    <w:lvl w:ilvl="1" w:tplc="240A0003" w:tentative="1">
      <w:start w:val="1"/>
      <w:numFmt w:val="bullet"/>
      <w:lvlText w:val="o"/>
      <w:lvlJc w:val="left"/>
      <w:pPr>
        <w:ind w:left="726" w:hanging="360"/>
      </w:pPr>
      <w:rPr>
        <w:rFonts w:ascii="Courier New" w:hAnsi="Courier New" w:cs="Courier New" w:hint="default"/>
      </w:rPr>
    </w:lvl>
    <w:lvl w:ilvl="2" w:tplc="240A0005" w:tentative="1">
      <w:start w:val="1"/>
      <w:numFmt w:val="bullet"/>
      <w:lvlText w:val=""/>
      <w:lvlJc w:val="left"/>
      <w:pPr>
        <w:ind w:left="1446" w:hanging="360"/>
      </w:pPr>
      <w:rPr>
        <w:rFonts w:ascii="Wingdings" w:hAnsi="Wingdings" w:hint="default"/>
      </w:rPr>
    </w:lvl>
    <w:lvl w:ilvl="3" w:tplc="240A0001" w:tentative="1">
      <w:start w:val="1"/>
      <w:numFmt w:val="bullet"/>
      <w:lvlText w:val=""/>
      <w:lvlJc w:val="left"/>
      <w:pPr>
        <w:ind w:left="2166" w:hanging="360"/>
      </w:pPr>
      <w:rPr>
        <w:rFonts w:ascii="Symbol" w:hAnsi="Symbol" w:hint="default"/>
      </w:rPr>
    </w:lvl>
    <w:lvl w:ilvl="4" w:tplc="240A0003" w:tentative="1">
      <w:start w:val="1"/>
      <w:numFmt w:val="bullet"/>
      <w:lvlText w:val="o"/>
      <w:lvlJc w:val="left"/>
      <w:pPr>
        <w:ind w:left="2886" w:hanging="360"/>
      </w:pPr>
      <w:rPr>
        <w:rFonts w:ascii="Courier New" w:hAnsi="Courier New" w:cs="Courier New" w:hint="default"/>
      </w:rPr>
    </w:lvl>
    <w:lvl w:ilvl="5" w:tplc="240A0005" w:tentative="1">
      <w:start w:val="1"/>
      <w:numFmt w:val="bullet"/>
      <w:lvlText w:val=""/>
      <w:lvlJc w:val="left"/>
      <w:pPr>
        <w:ind w:left="3606" w:hanging="360"/>
      </w:pPr>
      <w:rPr>
        <w:rFonts w:ascii="Wingdings" w:hAnsi="Wingdings" w:hint="default"/>
      </w:rPr>
    </w:lvl>
    <w:lvl w:ilvl="6" w:tplc="240A0001" w:tentative="1">
      <w:start w:val="1"/>
      <w:numFmt w:val="bullet"/>
      <w:lvlText w:val=""/>
      <w:lvlJc w:val="left"/>
      <w:pPr>
        <w:ind w:left="4326" w:hanging="360"/>
      </w:pPr>
      <w:rPr>
        <w:rFonts w:ascii="Symbol" w:hAnsi="Symbol" w:hint="default"/>
      </w:rPr>
    </w:lvl>
    <w:lvl w:ilvl="7" w:tplc="240A0003" w:tentative="1">
      <w:start w:val="1"/>
      <w:numFmt w:val="bullet"/>
      <w:lvlText w:val="o"/>
      <w:lvlJc w:val="left"/>
      <w:pPr>
        <w:ind w:left="5046" w:hanging="360"/>
      </w:pPr>
      <w:rPr>
        <w:rFonts w:ascii="Courier New" w:hAnsi="Courier New" w:cs="Courier New" w:hint="default"/>
      </w:rPr>
    </w:lvl>
    <w:lvl w:ilvl="8" w:tplc="240A0005" w:tentative="1">
      <w:start w:val="1"/>
      <w:numFmt w:val="bullet"/>
      <w:lvlText w:val=""/>
      <w:lvlJc w:val="left"/>
      <w:pPr>
        <w:ind w:left="5766" w:hanging="360"/>
      </w:pPr>
      <w:rPr>
        <w:rFonts w:ascii="Wingdings" w:hAnsi="Wingdings" w:hint="default"/>
      </w:rPr>
    </w:lvl>
  </w:abstractNum>
  <w:abstractNum w:abstractNumId="4" w15:restartNumberingAfterBreak="0">
    <w:nsid w:val="088574B3"/>
    <w:multiLevelType w:val="hybridMultilevel"/>
    <w:tmpl w:val="F042A798"/>
    <w:lvl w:ilvl="0" w:tplc="1A7C6FB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8E32C1D"/>
    <w:multiLevelType w:val="multilevel"/>
    <w:tmpl w:val="1444EB1C"/>
    <w:lvl w:ilvl="0">
      <w:start w:val="1"/>
      <w:numFmt w:val="decimal"/>
      <w:pStyle w:val="Ttulo1"/>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4D6166D"/>
    <w:multiLevelType w:val="multilevel"/>
    <w:tmpl w:val="3A868C40"/>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16B9715B"/>
    <w:multiLevelType w:val="multilevel"/>
    <w:tmpl w:val="3A868C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76951A6"/>
    <w:multiLevelType w:val="hybridMultilevel"/>
    <w:tmpl w:val="642EA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909294F"/>
    <w:multiLevelType w:val="hybridMultilevel"/>
    <w:tmpl w:val="FF90C75E"/>
    <w:lvl w:ilvl="0" w:tplc="7284C2E4">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AF904A7"/>
    <w:multiLevelType w:val="multilevel"/>
    <w:tmpl w:val="24AEB0B2"/>
    <w:lvl w:ilvl="0">
      <w:start w:val="1"/>
      <w:numFmt w:val="decimal"/>
      <w:lvlText w:val="%1."/>
      <w:lvlJc w:val="left"/>
      <w:pPr>
        <w:ind w:left="644" w:hanging="360"/>
      </w:pPr>
      <w:rPr>
        <w:rFonts w:hint="default"/>
      </w:rPr>
    </w:lvl>
    <w:lvl w:ilvl="1">
      <w:start w:val="7"/>
      <w:numFmt w:val="decimal"/>
      <w:isLgl/>
      <w:lvlText w:val="%1.%2"/>
      <w:lvlJc w:val="left"/>
      <w:pPr>
        <w:ind w:left="1070" w:hanging="360"/>
      </w:pPr>
      <w:rPr>
        <w:rFonts w:hint="default"/>
        <w:sz w:val="24"/>
      </w:rPr>
    </w:lvl>
    <w:lvl w:ilvl="2">
      <w:start w:val="1"/>
      <w:numFmt w:val="decimal"/>
      <w:isLgl/>
      <w:lvlText w:val="%1.%2.%3"/>
      <w:lvlJc w:val="left"/>
      <w:pPr>
        <w:ind w:left="1856" w:hanging="720"/>
      </w:pPr>
      <w:rPr>
        <w:rFonts w:hint="default"/>
        <w:sz w:val="24"/>
      </w:rPr>
    </w:lvl>
    <w:lvl w:ilvl="3">
      <w:start w:val="1"/>
      <w:numFmt w:val="decimal"/>
      <w:isLgl/>
      <w:lvlText w:val="%1.%2.%3.%4"/>
      <w:lvlJc w:val="left"/>
      <w:pPr>
        <w:ind w:left="2642" w:hanging="1080"/>
      </w:pPr>
      <w:rPr>
        <w:rFonts w:hint="default"/>
        <w:sz w:val="24"/>
      </w:rPr>
    </w:lvl>
    <w:lvl w:ilvl="4">
      <w:start w:val="1"/>
      <w:numFmt w:val="decimal"/>
      <w:isLgl/>
      <w:lvlText w:val="%1.%2.%3.%4.%5"/>
      <w:lvlJc w:val="left"/>
      <w:pPr>
        <w:ind w:left="3068" w:hanging="1080"/>
      </w:pPr>
      <w:rPr>
        <w:rFonts w:hint="default"/>
        <w:sz w:val="24"/>
      </w:rPr>
    </w:lvl>
    <w:lvl w:ilvl="5">
      <w:start w:val="1"/>
      <w:numFmt w:val="decimal"/>
      <w:isLgl/>
      <w:lvlText w:val="%1.%2.%3.%4.%5.%6"/>
      <w:lvlJc w:val="left"/>
      <w:pPr>
        <w:ind w:left="3854" w:hanging="1440"/>
      </w:pPr>
      <w:rPr>
        <w:rFonts w:hint="default"/>
        <w:sz w:val="24"/>
      </w:rPr>
    </w:lvl>
    <w:lvl w:ilvl="6">
      <w:start w:val="1"/>
      <w:numFmt w:val="decimal"/>
      <w:isLgl/>
      <w:lvlText w:val="%1.%2.%3.%4.%5.%6.%7"/>
      <w:lvlJc w:val="left"/>
      <w:pPr>
        <w:ind w:left="4280" w:hanging="1440"/>
      </w:pPr>
      <w:rPr>
        <w:rFonts w:hint="default"/>
        <w:sz w:val="24"/>
      </w:rPr>
    </w:lvl>
    <w:lvl w:ilvl="7">
      <w:start w:val="1"/>
      <w:numFmt w:val="decimal"/>
      <w:isLgl/>
      <w:lvlText w:val="%1.%2.%3.%4.%5.%6.%7.%8"/>
      <w:lvlJc w:val="left"/>
      <w:pPr>
        <w:ind w:left="5066" w:hanging="1800"/>
      </w:pPr>
      <w:rPr>
        <w:rFonts w:hint="default"/>
        <w:sz w:val="24"/>
      </w:rPr>
    </w:lvl>
    <w:lvl w:ilvl="8">
      <w:start w:val="1"/>
      <w:numFmt w:val="decimal"/>
      <w:isLgl/>
      <w:lvlText w:val="%1.%2.%3.%4.%5.%6.%7.%8.%9"/>
      <w:lvlJc w:val="left"/>
      <w:pPr>
        <w:ind w:left="5492" w:hanging="1800"/>
      </w:pPr>
      <w:rPr>
        <w:rFonts w:hint="default"/>
        <w:sz w:val="24"/>
      </w:rPr>
    </w:lvl>
  </w:abstractNum>
  <w:abstractNum w:abstractNumId="11" w15:restartNumberingAfterBreak="0">
    <w:nsid w:val="1C2B54A7"/>
    <w:multiLevelType w:val="multilevel"/>
    <w:tmpl w:val="3A868C40"/>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E833AA4"/>
    <w:multiLevelType w:val="hybridMultilevel"/>
    <w:tmpl w:val="B6F8E69A"/>
    <w:lvl w:ilvl="0" w:tplc="885463DE">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FEE03F5"/>
    <w:multiLevelType w:val="multilevel"/>
    <w:tmpl w:val="175447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0BF482E"/>
    <w:multiLevelType w:val="hybridMultilevel"/>
    <w:tmpl w:val="FB72CF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AC6D79"/>
    <w:multiLevelType w:val="hybridMultilevel"/>
    <w:tmpl w:val="2818990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FB07A86"/>
    <w:multiLevelType w:val="multilevel"/>
    <w:tmpl w:val="3A868C40"/>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443D0E54"/>
    <w:multiLevelType w:val="hybridMultilevel"/>
    <w:tmpl w:val="D70EC14A"/>
    <w:lvl w:ilvl="0" w:tplc="240A000B">
      <w:start w:val="1"/>
      <w:numFmt w:val="bullet"/>
      <w:lvlText w:val=""/>
      <w:lvlJc w:val="left"/>
      <w:pPr>
        <w:ind w:left="1506" w:hanging="360"/>
      </w:pPr>
      <w:rPr>
        <w:rFonts w:ascii="Wingdings" w:hAnsi="Wingdings" w:hint="default"/>
      </w:rPr>
    </w:lvl>
    <w:lvl w:ilvl="1" w:tplc="240A0003" w:tentative="1">
      <w:start w:val="1"/>
      <w:numFmt w:val="bullet"/>
      <w:lvlText w:val="o"/>
      <w:lvlJc w:val="left"/>
      <w:pPr>
        <w:ind w:left="2226" w:hanging="360"/>
      </w:pPr>
      <w:rPr>
        <w:rFonts w:ascii="Courier New" w:hAnsi="Courier New" w:cs="Courier New" w:hint="default"/>
      </w:rPr>
    </w:lvl>
    <w:lvl w:ilvl="2" w:tplc="240A0005" w:tentative="1">
      <w:start w:val="1"/>
      <w:numFmt w:val="bullet"/>
      <w:lvlText w:val=""/>
      <w:lvlJc w:val="left"/>
      <w:pPr>
        <w:ind w:left="2946" w:hanging="360"/>
      </w:pPr>
      <w:rPr>
        <w:rFonts w:ascii="Wingdings" w:hAnsi="Wingdings" w:hint="default"/>
      </w:rPr>
    </w:lvl>
    <w:lvl w:ilvl="3" w:tplc="240A0001" w:tentative="1">
      <w:start w:val="1"/>
      <w:numFmt w:val="bullet"/>
      <w:lvlText w:val=""/>
      <w:lvlJc w:val="left"/>
      <w:pPr>
        <w:ind w:left="3666" w:hanging="360"/>
      </w:pPr>
      <w:rPr>
        <w:rFonts w:ascii="Symbol" w:hAnsi="Symbol" w:hint="default"/>
      </w:rPr>
    </w:lvl>
    <w:lvl w:ilvl="4" w:tplc="240A0003" w:tentative="1">
      <w:start w:val="1"/>
      <w:numFmt w:val="bullet"/>
      <w:lvlText w:val="o"/>
      <w:lvlJc w:val="left"/>
      <w:pPr>
        <w:ind w:left="4386" w:hanging="360"/>
      </w:pPr>
      <w:rPr>
        <w:rFonts w:ascii="Courier New" w:hAnsi="Courier New" w:cs="Courier New" w:hint="default"/>
      </w:rPr>
    </w:lvl>
    <w:lvl w:ilvl="5" w:tplc="240A0005" w:tentative="1">
      <w:start w:val="1"/>
      <w:numFmt w:val="bullet"/>
      <w:lvlText w:val=""/>
      <w:lvlJc w:val="left"/>
      <w:pPr>
        <w:ind w:left="5106" w:hanging="360"/>
      </w:pPr>
      <w:rPr>
        <w:rFonts w:ascii="Wingdings" w:hAnsi="Wingdings" w:hint="default"/>
      </w:rPr>
    </w:lvl>
    <w:lvl w:ilvl="6" w:tplc="240A0001" w:tentative="1">
      <w:start w:val="1"/>
      <w:numFmt w:val="bullet"/>
      <w:lvlText w:val=""/>
      <w:lvlJc w:val="left"/>
      <w:pPr>
        <w:ind w:left="5826" w:hanging="360"/>
      </w:pPr>
      <w:rPr>
        <w:rFonts w:ascii="Symbol" w:hAnsi="Symbol" w:hint="default"/>
      </w:rPr>
    </w:lvl>
    <w:lvl w:ilvl="7" w:tplc="240A0003" w:tentative="1">
      <w:start w:val="1"/>
      <w:numFmt w:val="bullet"/>
      <w:lvlText w:val="o"/>
      <w:lvlJc w:val="left"/>
      <w:pPr>
        <w:ind w:left="6546" w:hanging="360"/>
      </w:pPr>
      <w:rPr>
        <w:rFonts w:ascii="Courier New" w:hAnsi="Courier New" w:cs="Courier New" w:hint="default"/>
      </w:rPr>
    </w:lvl>
    <w:lvl w:ilvl="8" w:tplc="240A0005" w:tentative="1">
      <w:start w:val="1"/>
      <w:numFmt w:val="bullet"/>
      <w:lvlText w:val=""/>
      <w:lvlJc w:val="left"/>
      <w:pPr>
        <w:ind w:left="7266" w:hanging="360"/>
      </w:pPr>
      <w:rPr>
        <w:rFonts w:ascii="Wingdings" w:hAnsi="Wingdings" w:hint="default"/>
      </w:rPr>
    </w:lvl>
  </w:abstractNum>
  <w:abstractNum w:abstractNumId="18" w15:restartNumberingAfterBreak="0">
    <w:nsid w:val="476C4B99"/>
    <w:multiLevelType w:val="hybridMultilevel"/>
    <w:tmpl w:val="BF082F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C574AB"/>
    <w:multiLevelType w:val="hybridMultilevel"/>
    <w:tmpl w:val="AC445F8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8A03B8"/>
    <w:multiLevelType w:val="multilevel"/>
    <w:tmpl w:val="A822CF42"/>
    <w:lvl w:ilvl="0">
      <w:start w:val="7"/>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CB75031"/>
    <w:multiLevelType w:val="hybridMultilevel"/>
    <w:tmpl w:val="42B23C9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55B65ED2"/>
    <w:multiLevelType w:val="multilevel"/>
    <w:tmpl w:val="BEC87F92"/>
    <w:lvl w:ilvl="0">
      <w:start w:val="7"/>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C8E7C18"/>
    <w:multiLevelType w:val="hybridMultilevel"/>
    <w:tmpl w:val="DD2A1518"/>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EB932C7"/>
    <w:multiLevelType w:val="hybridMultilevel"/>
    <w:tmpl w:val="59DA5A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1E25974"/>
    <w:multiLevelType w:val="hybridMultilevel"/>
    <w:tmpl w:val="DBC244B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73D6465"/>
    <w:multiLevelType w:val="multilevel"/>
    <w:tmpl w:val="8AA8C8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8F729DC"/>
    <w:multiLevelType w:val="multilevel"/>
    <w:tmpl w:val="136438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CD86256"/>
    <w:multiLevelType w:val="hybridMultilevel"/>
    <w:tmpl w:val="280E1B9C"/>
    <w:lvl w:ilvl="0" w:tplc="7284C2E4">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ED77566"/>
    <w:multiLevelType w:val="hybridMultilevel"/>
    <w:tmpl w:val="354033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308401F"/>
    <w:multiLevelType w:val="multilevel"/>
    <w:tmpl w:val="2E3ACA5A"/>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75A9328D"/>
    <w:multiLevelType w:val="multilevel"/>
    <w:tmpl w:val="86FE67BE"/>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04"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B926087"/>
    <w:multiLevelType w:val="hybridMultilevel"/>
    <w:tmpl w:val="C138276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15:restartNumberingAfterBreak="0">
    <w:nsid w:val="7D0D3871"/>
    <w:multiLevelType w:val="hybridMultilevel"/>
    <w:tmpl w:val="A176996E"/>
    <w:lvl w:ilvl="0" w:tplc="63B6985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DF3247E"/>
    <w:multiLevelType w:val="multilevel"/>
    <w:tmpl w:val="8CEA8A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14364057">
    <w:abstractNumId w:val="10"/>
  </w:num>
  <w:num w:numId="2" w16cid:durableId="467599923">
    <w:abstractNumId w:val="7"/>
  </w:num>
  <w:num w:numId="3" w16cid:durableId="1379207987">
    <w:abstractNumId w:val="11"/>
  </w:num>
  <w:num w:numId="4" w16cid:durableId="1531994815">
    <w:abstractNumId w:val="8"/>
  </w:num>
  <w:num w:numId="5" w16cid:durableId="1751846245">
    <w:abstractNumId w:val="6"/>
  </w:num>
  <w:num w:numId="6" w16cid:durableId="272857733">
    <w:abstractNumId w:val="25"/>
  </w:num>
  <w:num w:numId="7" w16cid:durableId="784349360">
    <w:abstractNumId w:val="34"/>
  </w:num>
  <w:num w:numId="8" w16cid:durableId="1201630878">
    <w:abstractNumId w:val="14"/>
  </w:num>
  <w:num w:numId="9" w16cid:durableId="2111579183">
    <w:abstractNumId w:val="1"/>
  </w:num>
  <w:num w:numId="10" w16cid:durableId="765615461">
    <w:abstractNumId w:val="30"/>
  </w:num>
  <w:num w:numId="11" w16cid:durableId="1245338805">
    <w:abstractNumId w:val="33"/>
  </w:num>
  <w:num w:numId="12" w16cid:durableId="1861357622">
    <w:abstractNumId w:val="28"/>
  </w:num>
  <w:num w:numId="13" w16cid:durableId="1905329679">
    <w:abstractNumId w:val="19"/>
  </w:num>
  <w:num w:numId="14" w16cid:durableId="401954984">
    <w:abstractNumId w:val="16"/>
  </w:num>
  <w:num w:numId="15" w16cid:durableId="20980034">
    <w:abstractNumId w:val="2"/>
  </w:num>
  <w:num w:numId="16" w16cid:durableId="1238631147">
    <w:abstractNumId w:val="4"/>
  </w:num>
  <w:num w:numId="17" w16cid:durableId="968391760">
    <w:abstractNumId w:val="0"/>
  </w:num>
  <w:num w:numId="18" w16cid:durableId="252780602">
    <w:abstractNumId w:val="12"/>
  </w:num>
  <w:num w:numId="19" w16cid:durableId="1179155262">
    <w:abstractNumId w:val="9"/>
  </w:num>
  <w:num w:numId="20" w16cid:durableId="1898011974">
    <w:abstractNumId w:val="20"/>
  </w:num>
  <w:num w:numId="21" w16cid:durableId="1940944114">
    <w:abstractNumId w:val="5"/>
  </w:num>
  <w:num w:numId="22" w16cid:durableId="524174691">
    <w:abstractNumId w:val="31"/>
  </w:num>
  <w:num w:numId="23" w16cid:durableId="360716036">
    <w:abstractNumId w:val="17"/>
  </w:num>
  <w:num w:numId="24" w16cid:durableId="717441034">
    <w:abstractNumId w:val="18"/>
  </w:num>
  <w:num w:numId="25" w16cid:durableId="589192854">
    <w:abstractNumId w:val="27"/>
  </w:num>
  <w:num w:numId="26" w16cid:durableId="932006771">
    <w:abstractNumId w:val="24"/>
  </w:num>
  <w:num w:numId="27" w16cid:durableId="1143696676">
    <w:abstractNumId w:val="26"/>
  </w:num>
  <w:num w:numId="28" w16cid:durableId="862942821">
    <w:abstractNumId w:val="3"/>
  </w:num>
  <w:num w:numId="29" w16cid:durableId="843937198">
    <w:abstractNumId w:val="32"/>
  </w:num>
  <w:num w:numId="30" w16cid:durableId="649141810">
    <w:abstractNumId w:val="29"/>
  </w:num>
  <w:num w:numId="31" w16cid:durableId="50806928">
    <w:abstractNumId w:val="15"/>
  </w:num>
  <w:num w:numId="32" w16cid:durableId="1279800648">
    <w:abstractNumId w:val="13"/>
  </w:num>
  <w:num w:numId="33" w16cid:durableId="445123258">
    <w:abstractNumId w:val="22"/>
  </w:num>
  <w:num w:numId="34" w16cid:durableId="278949171">
    <w:abstractNumId w:val="23"/>
  </w:num>
  <w:num w:numId="35" w16cid:durableId="14217537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BEC"/>
    <w:rsid w:val="00000EE6"/>
    <w:rsid w:val="00002ADD"/>
    <w:rsid w:val="00010DE4"/>
    <w:rsid w:val="000528CB"/>
    <w:rsid w:val="000C1EC3"/>
    <w:rsid w:val="000C5D07"/>
    <w:rsid w:val="000F4569"/>
    <w:rsid w:val="00107D05"/>
    <w:rsid w:val="001101E6"/>
    <w:rsid w:val="00113A60"/>
    <w:rsid w:val="0012702A"/>
    <w:rsid w:val="00143A96"/>
    <w:rsid w:val="001556EF"/>
    <w:rsid w:val="0018567F"/>
    <w:rsid w:val="001B4B51"/>
    <w:rsid w:val="001C6F68"/>
    <w:rsid w:val="001F4F79"/>
    <w:rsid w:val="002164C7"/>
    <w:rsid w:val="002229A8"/>
    <w:rsid w:val="00222B42"/>
    <w:rsid w:val="00296C2E"/>
    <w:rsid w:val="002B3E7F"/>
    <w:rsid w:val="002B601F"/>
    <w:rsid w:val="002D09DC"/>
    <w:rsid w:val="002D509C"/>
    <w:rsid w:val="00323F7B"/>
    <w:rsid w:val="00326891"/>
    <w:rsid w:val="003319A8"/>
    <w:rsid w:val="00372BC8"/>
    <w:rsid w:val="00376497"/>
    <w:rsid w:val="003A5555"/>
    <w:rsid w:val="003B64ED"/>
    <w:rsid w:val="003C3F36"/>
    <w:rsid w:val="003C53F8"/>
    <w:rsid w:val="003D30B2"/>
    <w:rsid w:val="003D4922"/>
    <w:rsid w:val="003D79F8"/>
    <w:rsid w:val="003F26FC"/>
    <w:rsid w:val="003F53E2"/>
    <w:rsid w:val="004116D6"/>
    <w:rsid w:val="0044385F"/>
    <w:rsid w:val="00461650"/>
    <w:rsid w:val="004714C0"/>
    <w:rsid w:val="0047606A"/>
    <w:rsid w:val="004808C5"/>
    <w:rsid w:val="00496E3D"/>
    <w:rsid w:val="004A218E"/>
    <w:rsid w:val="004A6336"/>
    <w:rsid w:val="004A7753"/>
    <w:rsid w:val="004C0F31"/>
    <w:rsid w:val="004C2B34"/>
    <w:rsid w:val="004C7B1F"/>
    <w:rsid w:val="004E299E"/>
    <w:rsid w:val="004E6AD4"/>
    <w:rsid w:val="00503052"/>
    <w:rsid w:val="0050638F"/>
    <w:rsid w:val="005459A6"/>
    <w:rsid w:val="00555B7A"/>
    <w:rsid w:val="00574B4D"/>
    <w:rsid w:val="00585C6D"/>
    <w:rsid w:val="00595BB0"/>
    <w:rsid w:val="005B24AC"/>
    <w:rsid w:val="005E31D0"/>
    <w:rsid w:val="005E7FE1"/>
    <w:rsid w:val="005F34EA"/>
    <w:rsid w:val="0060471E"/>
    <w:rsid w:val="00607FE3"/>
    <w:rsid w:val="00612C70"/>
    <w:rsid w:val="00695ED6"/>
    <w:rsid w:val="006E075F"/>
    <w:rsid w:val="00772EE4"/>
    <w:rsid w:val="0077710F"/>
    <w:rsid w:val="007820B4"/>
    <w:rsid w:val="00782891"/>
    <w:rsid w:val="00790DBF"/>
    <w:rsid w:val="007A3868"/>
    <w:rsid w:val="007A399A"/>
    <w:rsid w:val="007D2D73"/>
    <w:rsid w:val="007D5E3F"/>
    <w:rsid w:val="007E6B2C"/>
    <w:rsid w:val="00835295"/>
    <w:rsid w:val="00846BEC"/>
    <w:rsid w:val="0086268C"/>
    <w:rsid w:val="00866B20"/>
    <w:rsid w:val="00875FC9"/>
    <w:rsid w:val="008B11A1"/>
    <w:rsid w:val="008B6800"/>
    <w:rsid w:val="008C6648"/>
    <w:rsid w:val="00934E10"/>
    <w:rsid w:val="0094083D"/>
    <w:rsid w:val="00946883"/>
    <w:rsid w:val="0095480F"/>
    <w:rsid w:val="00966BBA"/>
    <w:rsid w:val="00997012"/>
    <w:rsid w:val="009A0F46"/>
    <w:rsid w:val="009A2656"/>
    <w:rsid w:val="009B7E12"/>
    <w:rsid w:val="009D00BD"/>
    <w:rsid w:val="009D1EED"/>
    <w:rsid w:val="009E2EC3"/>
    <w:rsid w:val="00A04377"/>
    <w:rsid w:val="00A11376"/>
    <w:rsid w:val="00A417EE"/>
    <w:rsid w:val="00A710EA"/>
    <w:rsid w:val="00A77C1C"/>
    <w:rsid w:val="00A90C36"/>
    <w:rsid w:val="00AE1099"/>
    <w:rsid w:val="00AE2EFF"/>
    <w:rsid w:val="00AE3400"/>
    <w:rsid w:val="00B037F7"/>
    <w:rsid w:val="00B115A2"/>
    <w:rsid w:val="00B21697"/>
    <w:rsid w:val="00B2334D"/>
    <w:rsid w:val="00B50D24"/>
    <w:rsid w:val="00B61927"/>
    <w:rsid w:val="00B77BDE"/>
    <w:rsid w:val="00BB17EC"/>
    <w:rsid w:val="00BB1BA1"/>
    <w:rsid w:val="00BD2C81"/>
    <w:rsid w:val="00BE3D1E"/>
    <w:rsid w:val="00BF6AE3"/>
    <w:rsid w:val="00C046A7"/>
    <w:rsid w:val="00CB6CD9"/>
    <w:rsid w:val="00CD575B"/>
    <w:rsid w:val="00CD5A2D"/>
    <w:rsid w:val="00CE204C"/>
    <w:rsid w:val="00CF6C15"/>
    <w:rsid w:val="00D00DF8"/>
    <w:rsid w:val="00D04DF1"/>
    <w:rsid w:val="00D06A97"/>
    <w:rsid w:val="00D32A09"/>
    <w:rsid w:val="00D53133"/>
    <w:rsid w:val="00D7321E"/>
    <w:rsid w:val="00D83FFC"/>
    <w:rsid w:val="00DB0639"/>
    <w:rsid w:val="00DB5828"/>
    <w:rsid w:val="00DC3AE1"/>
    <w:rsid w:val="00DD7354"/>
    <w:rsid w:val="00DF0F46"/>
    <w:rsid w:val="00E25F2C"/>
    <w:rsid w:val="00E3518F"/>
    <w:rsid w:val="00E423BA"/>
    <w:rsid w:val="00E50A32"/>
    <w:rsid w:val="00E751C8"/>
    <w:rsid w:val="00EC3389"/>
    <w:rsid w:val="00EC43FE"/>
    <w:rsid w:val="00F25A52"/>
    <w:rsid w:val="00F325CB"/>
    <w:rsid w:val="00F51905"/>
    <w:rsid w:val="00F80FB0"/>
    <w:rsid w:val="00FA2EE1"/>
    <w:rsid w:val="00FB571B"/>
    <w:rsid w:val="00FD38D7"/>
    <w:rsid w:val="00FE0294"/>
    <w:rsid w:val="00FF34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87340"/>
  <w15:docId w15:val="{86FEF0E8-23DA-42D1-AC8A-BB36F603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autoRedefine/>
    <w:uiPriority w:val="9"/>
    <w:qFormat/>
    <w:rsid w:val="00DB0639"/>
    <w:pPr>
      <w:keepNext/>
      <w:keepLines/>
      <w:numPr>
        <w:numId w:val="21"/>
      </w:numPr>
      <w:spacing w:after="0" w:line="240" w:lineRule="auto"/>
      <w:outlineLvl w:val="0"/>
    </w:pPr>
    <w:rPr>
      <w:rFonts w:ascii="Arial" w:eastAsia="Tahoma" w:hAnsi="Arial" w:cstheme="majorBidi"/>
      <w:b/>
      <w:bCs/>
      <w:sz w:val="24"/>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46B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46BEC"/>
  </w:style>
  <w:style w:type="paragraph" w:styleId="Piedepgina">
    <w:name w:val="footer"/>
    <w:basedOn w:val="Normal"/>
    <w:link w:val="PiedepginaCar"/>
    <w:uiPriority w:val="99"/>
    <w:unhideWhenUsed/>
    <w:rsid w:val="00846B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46BEC"/>
  </w:style>
  <w:style w:type="table" w:styleId="Tablaconcuadrcula">
    <w:name w:val="Table Grid"/>
    <w:basedOn w:val="Tablanormal"/>
    <w:uiPriority w:val="59"/>
    <w:rsid w:val="00846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46BE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46BEC"/>
    <w:rPr>
      <w:rFonts w:ascii="Tahoma" w:hAnsi="Tahoma" w:cs="Tahoma"/>
      <w:sz w:val="16"/>
      <w:szCs w:val="16"/>
    </w:rPr>
  </w:style>
  <w:style w:type="paragraph" w:styleId="Prrafodelista">
    <w:name w:val="List Paragraph"/>
    <w:basedOn w:val="Normal"/>
    <w:uiPriority w:val="1"/>
    <w:qFormat/>
    <w:rsid w:val="005E7FE1"/>
    <w:pPr>
      <w:ind w:left="720"/>
      <w:contextualSpacing/>
    </w:pPr>
  </w:style>
  <w:style w:type="character" w:styleId="Hipervnculo">
    <w:name w:val="Hyperlink"/>
    <w:basedOn w:val="Fuentedeprrafopredeter"/>
    <w:uiPriority w:val="99"/>
    <w:unhideWhenUsed/>
    <w:rsid w:val="007820B4"/>
    <w:rPr>
      <w:color w:val="0000FF" w:themeColor="hyperlink"/>
      <w:u w:val="single"/>
    </w:rPr>
  </w:style>
  <w:style w:type="character" w:customStyle="1" w:styleId="hgkelc">
    <w:name w:val="hgkelc"/>
    <w:basedOn w:val="Fuentedeprrafopredeter"/>
    <w:rsid w:val="00CF6C15"/>
  </w:style>
  <w:style w:type="character" w:customStyle="1" w:styleId="acopre">
    <w:name w:val="acopre"/>
    <w:basedOn w:val="Fuentedeprrafopredeter"/>
    <w:rsid w:val="00CF6C15"/>
  </w:style>
  <w:style w:type="paragraph" w:customStyle="1" w:styleId="Default">
    <w:name w:val="Default"/>
    <w:rsid w:val="00A710EA"/>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A417EE"/>
    <w:pPr>
      <w:widowControl w:val="0"/>
      <w:autoSpaceDE w:val="0"/>
      <w:autoSpaceDN w:val="0"/>
      <w:spacing w:after="0" w:line="240" w:lineRule="auto"/>
    </w:pPr>
    <w:rPr>
      <w:rFonts w:ascii="Arial" w:eastAsia="Arial" w:hAnsi="Arial" w:cs="Arial"/>
    </w:rPr>
  </w:style>
  <w:style w:type="table" w:customStyle="1" w:styleId="TableNormal">
    <w:name w:val="Table Normal"/>
    <w:uiPriority w:val="2"/>
    <w:semiHidden/>
    <w:unhideWhenUsed/>
    <w:qFormat/>
    <w:rsid w:val="00A417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1Car">
    <w:name w:val="Título 1 Car"/>
    <w:basedOn w:val="Fuentedeprrafopredeter"/>
    <w:link w:val="Ttulo1"/>
    <w:uiPriority w:val="9"/>
    <w:rsid w:val="00DB0639"/>
    <w:rPr>
      <w:rFonts w:ascii="Arial" w:eastAsia="Tahoma" w:hAnsi="Arial" w:cstheme="majorBidi"/>
      <w:b/>
      <w:bCs/>
      <w:sz w:val="24"/>
      <w:szCs w:val="28"/>
      <w:lang w:eastAsia="es-CO"/>
    </w:rPr>
  </w:style>
  <w:style w:type="paragraph" w:styleId="NormalWeb">
    <w:name w:val="Normal (Web)"/>
    <w:basedOn w:val="Normal"/>
    <w:uiPriority w:val="99"/>
    <w:unhideWhenUsed/>
    <w:rsid w:val="00D5313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8C6648"/>
    <w:rPr>
      <w:b/>
      <w:bCs/>
    </w:rPr>
  </w:style>
  <w:style w:type="character" w:customStyle="1" w:styleId="markedcontent">
    <w:name w:val="markedcontent"/>
    <w:basedOn w:val="Fuentedeprrafopredeter"/>
    <w:rsid w:val="003C3F36"/>
  </w:style>
  <w:style w:type="paragraph" w:styleId="TDC3">
    <w:name w:val="toc 3"/>
    <w:basedOn w:val="Normal"/>
    <w:next w:val="Normal"/>
    <w:autoRedefine/>
    <w:uiPriority w:val="39"/>
    <w:unhideWhenUsed/>
    <w:rsid w:val="001C6F68"/>
    <w:pPr>
      <w:widowControl w:val="0"/>
      <w:autoSpaceDE w:val="0"/>
      <w:autoSpaceDN w:val="0"/>
      <w:spacing w:after="0" w:line="240" w:lineRule="auto"/>
      <w:ind w:left="440"/>
    </w:pPr>
    <w:rPr>
      <w:rFonts w:eastAsia="Tahoma" w:cs="Tahoma"/>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2555">
      <w:bodyDiv w:val="1"/>
      <w:marLeft w:val="0"/>
      <w:marRight w:val="0"/>
      <w:marTop w:val="0"/>
      <w:marBottom w:val="0"/>
      <w:divBdr>
        <w:top w:val="none" w:sz="0" w:space="0" w:color="auto"/>
        <w:left w:val="none" w:sz="0" w:space="0" w:color="auto"/>
        <w:bottom w:val="none" w:sz="0" w:space="0" w:color="auto"/>
        <w:right w:val="none" w:sz="0" w:space="0" w:color="auto"/>
      </w:divBdr>
    </w:div>
    <w:div w:id="369570978">
      <w:bodyDiv w:val="1"/>
      <w:marLeft w:val="0"/>
      <w:marRight w:val="0"/>
      <w:marTop w:val="0"/>
      <w:marBottom w:val="0"/>
      <w:divBdr>
        <w:top w:val="none" w:sz="0" w:space="0" w:color="auto"/>
        <w:left w:val="none" w:sz="0" w:space="0" w:color="auto"/>
        <w:bottom w:val="none" w:sz="0" w:space="0" w:color="auto"/>
        <w:right w:val="none" w:sz="0" w:space="0" w:color="auto"/>
      </w:divBdr>
      <w:divsChild>
        <w:div w:id="69161550">
          <w:marLeft w:val="0"/>
          <w:marRight w:val="0"/>
          <w:marTop w:val="0"/>
          <w:marBottom w:val="0"/>
          <w:divBdr>
            <w:top w:val="none" w:sz="0" w:space="0" w:color="auto"/>
            <w:left w:val="none" w:sz="0" w:space="0" w:color="auto"/>
            <w:bottom w:val="none" w:sz="0" w:space="0" w:color="auto"/>
            <w:right w:val="none" w:sz="0" w:space="0" w:color="auto"/>
          </w:divBdr>
          <w:divsChild>
            <w:div w:id="969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4489">
      <w:bodyDiv w:val="1"/>
      <w:marLeft w:val="0"/>
      <w:marRight w:val="0"/>
      <w:marTop w:val="0"/>
      <w:marBottom w:val="0"/>
      <w:divBdr>
        <w:top w:val="none" w:sz="0" w:space="0" w:color="auto"/>
        <w:left w:val="none" w:sz="0" w:space="0" w:color="auto"/>
        <w:bottom w:val="none" w:sz="0" w:space="0" w:color="auto"/>
        <w:right w:val="none" w:sz="0" w:space="0" w:color="auto"/>
      </w:divBdr>
    </w:div>
    <w:div w:id="565534809">
      <w:bodyDiv w:val="1"/>
      <w:marLeft w:val="0"/>
      <w:marRight w:val="0"/>
      <w:marTop w:val="0"/>
      <w:marBottom w:val="0"/>
      <w:divBdr>
        <w:top w:val="none" w:sz="0" w:space="0" w:color="auto"/>
        <w:left w:val="none" w:sz="0" w:space="0" w:color="auto"/>
        <w:bottom w:val="none" w:sz="0" w:space="0" w:color="auto"/>
        <w:right w:val="none" w:sz="0" w:space="0" w:color="auto"/>
      </w:divBdr>
      <w:divsChild>
        <w:div w:id="446971115">
          <w:marLeft w:val="0"/>
          <w:marRight w:val="0"/>
          <w:marTop w:val="0"/>
          <w:marBottom w:val="0"/>
          <w:divBdr>
            <w:top w:val="none" w:sz="0" w:space="0" w:color="auto"/>
            <w:left w:val="none" w:sz="0" w:space="0" w:color="auto"/>
            <w:bottom w:val="none" w:sz="0" w:space="0" w:color="auto"/>
            <w:right w:val="none" w:sz="0" w:space="0" w:color="auto"/>
          </w:divBdr>
          <w:divsChild>
            <w:div w:id="26962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1858">
      <w:bodyDiv w:val="1"/>
      <w:marLeft w:val="0"/>
      <w:marRight w:val="0"/>
      <w:marTop w:val="0"/>
      <w:marBottom w:val="0"/>
      <w:divBdr>
        <w:top w:val="none" w:sz="0" w:space="0" w:color="auto"/>
        <w:left w:val="none" w:sz="0" w:space="0" w:color="auto"/>
        <w:bottom w:val="none" w:sz="0" w:space="0" w:color="auto"/>
        <w:right w:val="none" w:sz="0" w:space="0" w:color="auto"/>
      </w:divBdr>
    </w:div>
    <w:div w:id="1515732343">
      <w:bodyDiv w:val="1"/>
      <w:marLeft w:val="0"/>
      <w:marRight w:val="0"/>
      <w:marTop w:val="0"/>
      <w:marBottom w:val="0"/>
      <w:divBdr>
        <w:top w:val="none" w:sz="0" w:space="0" w:color="auto"/>
        <w:left w:val="none" w:sz="0" w:space="0" w:color="auto"/>
        <w:bottom w:val="none" w:sz="0" w:space="0" w:color="auto"/>
        <w:right w:val="none" w:sz="0" w:space="0" w:color="auto"/>
      </w:divBdr>
    </w:div>
    <w:div w:id="199467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idadepq2024@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21</Pages>
  <Words>3838</Words>
  <Characters>21112</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epq</dc:creator>
  <cp:lastModifiedBy>Usuario</cp:lastModifiedBy>
  <cp:revision>12</cp:revision>
  <dcterms:created xsi:type="dcterms:W3CDTF">2025-05-14T15:51:00Z</dcterms:created>
  <dcterms:modified xsi:type="dcterms:W3CDTF">2026-05-27T14:44:00Z</dcterms:modified>
</cp:coreProperties>
</file>